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行楷" w:hAnsi="华文中宋" w:eastAsia="华文行楷" w:cs="Times New Roman"/>
          <w:bCs/>
          <w:kern w:val="0"/>
          <w:sz w:val="44"/>
          <w:szCs w:val="44"/>
        </w:rPr>
      </w:pPr>
      <w:bookmarkStart w:id="0" w:name="_Hlk107910480"/>
      <w:bookmarkEnd w:id="0"/>
      <w:bookmarkStart w:id="1" w:name="_Hlk20298193"/>
    </w:p>
    <w:p>
      <w:pPr>
        <w:jc w:val="center"/>
        <w:rPr>
          <w:rFonts w:ascii="华文行楷" w:hAnsi="华文中宋" w:eastAsia="华文行楷" w:cs="Times New Roman"/>
          <w:bCs/>
          <w:kern w:val="0"/>
          <w:sz w:val="44"/>
          <w:szCs w:val="44"/>
        </w:rPr>
      </w:pPr>
      <w:r>
        <w:rPr>
          <w:rFonts w:hint="eastAsia" w:ascii="Times New Roman" w:hAnsi="Times New Roman" w:eastAsia="方正仿宋简体" w:cs="Times New Roman"/>
          <w:sz w:val="28"/>
          <w:szCs w:val="28"/>
        </w:rPr>
        <w:drawing>
          <wp:anchor distT="0" distB="0" distL="114300" distR="114300" simplePos="0" relativeHeight="251659264" behindDoc="0" locked="0" layoutInCell="1" allowOverlap="1">
            <wp:simplePos x="0" y="0"/>
            <wp:positionH relativeFrom="margin">
              <wp:posOffset>350520</wp:posOffset>
            </wp:positionH>
            <wp:positionV relativeFrom="paragraph">
              <wp:posOffset>160020</wp:posOffset>
            </wp:positionV>
            <wp:extent cx="899160" cy="822960"/>
            <wp:effectExtent l="0" t="0" r="0" b="0"/>
            <wp:wrapThrough wrapText="bothSides">
              <wp:wrapPolygon>
                <wp:start x="7322" y="500"/>
                <wp:lineTo x="4576" y="3000"/>
                <wp:lineTo x="915" y="7500"/>
                <wp:lineTo x="915" y="11500"/>
                <wp:lineTo x="2746" y="17500"/>
                <wp:lineTo x="7322" y="20500"/>
                <wp:lineTo x="8695" y="21000"/>
                <wp:lineTo x="11441" y="21000"/>
                <wp:lineTo x="13271" y="20500"/>
                <wp:lineTo x="18305" y="17500"/>
                <wp:lineTo x="20136" y="8500"/>
                <wp:lineTo x="15559" y="2500"/>
                <wp:lineTo x="13271" y="500"/>
                <wp:lineTo x="7322" y="500"/>
              </wp:wrapPolygon>
            </wp:wrapThrough>
            <wp:docPr id="1" name="图片 1" descr="校徽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2019.5"/>
                    <pic:cNvPicPr>
                      <a:picLocks noChangeAspect="1"/>
                    </pic:cNvPicPr>
                  </pic:nvPicPr>
                  <pic:blipFill>
                    <a:blip r:embed="rId6">
                      <a:extLst>
                        <a:ext uri="{28A0092B-C50C-407E-A947-70E740481C1C}">
                          <a14:useLocalDpi xmlns:a14="http://schemas.microsoft.com/office/drawing/2010/main" val="0"/>
                        </a:ext>
                      </a:extLst>
                    </a:blip>
                    <a:srcRect l="35723" t="20092" r="33054" b="37360"/>
                    <a:stretch>
                      <a:fillRect/>
                    </a:stretch>
                  </pic:blipFill>
                  <pic:spPr>
                    <a:xfrm>
                      <a:off x="0" y="0"/>
                      <a:ext cx="899160" cy="822960"/>
                    </a:xfrm>
                    <a:prstGeom prst="rect">
                      <a:avLst/>
                    </a:prstGeom>
                    <a:ln>
                      <a:noFill/>
                    </a:ln>
                  </pic:spPr>
                </pic:pic>
              </a:graphicData>
            </a:graphic>
          </wp:anchor>
        </w:drawing>
      </w:r>
    </w:p>
    <w:p>
      <w:pPr>
        <w:ind w:firstLine="440" w:firstLineChars="100"/>
        <w:rPr>
          <w:rFonts w:ascii="华文行楷" w:hAnsi="华文中宋" w:eastAsia="华文行楷" w:cs="Times New Roman"/>
          <w:bCs/>
          <w:kern w:val="0"/>
          <w:sz w:val="44"/>
          <w:szCs w:val="44"/>
        </w:rPr>
      </w:pPr>
      <w:r>
        <w:rPr>
          <w:rFonts w:hint="eastAsia" w:ascii="华文行楷" w:hAnsi="华文中宋" w:eastAsia="华文行楷" w:cs="Times New Roman"/>
          <w:bCs/>
          <w:kern w:val="0"/>
          <w:sz w:val="44"/>
          <w:szCs w:val="44"/>
        </w:rPr>
        <w:t>三亚航空旅游职业学院</w:t>
      </w:r>
    </w:p>
    <w:p>
      <w:pPr>
        <w:ind w:right="-58"/>
        <w:rPr>
          <w:rFonts w:ascii="Times New Roman" w:hAnsi="Times New Roman" w:eastAsia="方正仿宋简体" w:cs="Times New Roman"/>
          <w:sz w:val="28"/>
          <w:szCs w:val="28"/>
        </w:rPr>
      </w:pPr>
    </w:p>
    <w:p>
      <w:pPr>
        <w:ind w:right="-58"/>
        <w:jc w:val="left"/>
        <w:rPr>
          <w:rFonts w:ascii="Times New Roman" w:hAnsi="Times New Roman" w:eastAsia="方正仿宋简体" w:cs="Times New Roman"/>
          <w:sz w:val="28"/>
          <w:szCs w:val="28"/>
        </w:rPr>
      </w:pPr>
    </w:p>
    <w:p>
      <w:pPr>
        <w:jc w:val="center"/>
        <w:rPr>
          <w:rFonts w:ascii="华文行楷" w:hAnsi="华文中宋" w:eastAsia="华文行楷" w:cs="Times New Roman"/>
          <w:bCs/>
          <w:kern w:val="0"/>
          <w:sz w:val="44"/>
          <w:szCs w:val="44"/>
        </w:rPr>
      </w:pPr>
    </w:p>
    <w:p>
      <w:pPr>
        <w:jc w:val="center"/>
        <w:rPr>
          <w:rFonts w:ascii="华文新魏" w:hAnsi="华文中宋" w:eastAsia="华文新魏" w:cs="Times New Roman"/>
          <w:bCs/>
          <w:kern w:val="0"/>
          <w:sz w:val="56"/>
          <w:szCs w:val="56"/>
        </w:rPr>
      </w:pPr>
      <w:r>
        <w:rPr>
          <w:rFonts w:hint="eastAsia" w:ascii="华文新魏" w:hAnsi="华文中宋" w:eastAsia="华文新魏" w:cs="Times New Roman"/>
          <w:bCs/>
          <w:kern w:val="0"/>
          <w:sz w:val="56"/>
          <w:szCs w:val="56"/>
        </w:rPr>
        <w:t>飞机机电设备维修专业</w:t>
      </w:r>
    </w:p>
    <w:p>
      <w:pPr>
        <w:jc w:val="center"/>
        <w:rPr>
          <w:rFonts w:ascii="华文中宋" w:hAnsi="华文中宋" w:eastAsia="华文中宋" w:cs="Times New Roman"/>
          <w:bCs/>
          <w:kern w:val="0"/>
          <w:sz w:val="56"/>
          <w:szCs w:val="56"/>
        </w:rPr>
      </w:pPr>
      <w:r>
        <w:rPr>
          <w:rFonts w:hint="eastAsia" w:ascii="华文中宋" w:hAnsi="华文中宋" w:eastAsia="华文中宋" w:cs="Times New Roman"/>
          <w:bCs/>
          <w:kern w:val="0"/>
          <w:sz w:val="56"/>
          <w:szCs w:val="56"/>
        </w:rPr>
        <w:t>人才培养方案</w:t>
      </w:r>
    </w:p>
    <w:p/>
    <w:p/>
    <w:p/>
    <w:p/>
    <w:p/>
    <w:p>
      <w:pPr>
        <w:adjustRightInd w:val="0"/>
        <w:snapToGrid w:val="0"/>
        <w:spacing w:line="700" w:lineRule="exact"/>
        <w:ind w:firstLine="1912" w:firstLineChars="400"/>
        <w:rPr>
          <w:rFonts w:ascii="微软雅黑" w:hAnsi="微软雅黑" w:eastAsia="微软雅黑"/>
          <w:sz w:val="32"/>
          <w:szCs w:val="32"/>
          <w:u w:val="single"/>
        </w:rPr>
      </w:pPr>
      <w:bookmarkStart w:id="2" w:name="_Hlk20298341"/>
      <w:r>
        <w:rPr>
          <w:rFonts w:hint="eastAsia" w:ascii="微软雅黑" w:hAnsi="微软雅黑" w:eastAsia="微软雅黑"/>
          <w:spacing w:val="79"/>
          <w:kern w:val="11"/>
          <w:sz w:val="32"/>
          <w:szCs w:val="32"/>
        </w:rPr>
        <w:t>所在学院</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机电工程学院</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ind w:firstLine="1920" w:firstLineChars="600"/>
        <w:rPr>
          <w:rFonts w:ascii="微软雅黑" w:hAnsi="微软雅黑" w:eastAsia="微软雅黑"/>
          <w:sz w:val="32"/>
          <w:szCs w:val="32"/>
        </w:rPr>
      </w:pPr>
      <w:r>
        <w:rPr>
          <w:rFonts w:hint="eastAsia" w:ascii="微软雅黑" w:hAnsi="微软雅黑" w:eastAsia="微软雅黑"/>
          <w:sz w:val="32"/>
          <w:szCs w:val="32"/>
        </w:rPr>
        <w:t>合作开发企业：</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海航航空技术有限公司</w:t>
      </w:r>
      <w:r>
        <w:rPr>
          <w:rFonts w:ascii="微软雅黑" w:hAnsi="微软雅黑" w:eastAsia="微软雅黑"/>
          <w:sz w:val="32"/>
          <w:szCs w:val="32"/>
          <w:u w:val="single"/>
        </w:rPr>
        <w:t xml:space="preserve">  </w:t>
      </w:r>
    </w:p>
    <w:p>
      <w:pPr>
        <w:adjustRightInd w:val="0"/>
        <w:snapToGrid w:val="0"/>
        <w:spacing w:line="700" w:lineRule="exact"/>
        <w:ind w:firstLine="1912" w:firstLineChars="400"/>
        <w:rPr>
          <w:rFonts w:ascii="微软雅黑" w:hAnsi="微软雅黑" w:eastAsia="微软雅黑"/>
          <w:sz w:val="32"/>
          <w:szCs w:val="32"/>
          <w:u w:val="single"/>
        </w:rPr>
      </w:pPr>
      <w:bookmarkStart w:id="3" w:name="_Hlk20298489"/>
      <w:r>
        <w:rPr>
          <w:rFonts w:hint="eastAsia" w:ascii="微软雅黑" w:hAnsi="微软雅黑" w:eastAsia="微软雅黑"/>
          <w:spacing w:val="79"/>
          <w:kern w:val="11"/>
          <w:sz w:val="32"/>
          <w:szCs w:val="32"/>
        </w:rPr>
        <w:t>适用年级</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2023</w:t>
      </w:r>
      <w:r>
        <w:rPr>
          <w:rFonts w:hint="eastAsia" w:ascii="微软雅黑" w:hAnsi="微软雅黑" w:eastAsia="微软雅黑"/>
          <w:sz w:val="32"/>
          <w:szCs w:val="32"/>
          <w:u w:val="single"/>
        </w:rPr>
        <w:t xml:space="preserve">级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rPr>
          <w:rFonts w:ascii="微软雅黑" w:hAnsi="微软雅黑" w:eastAsia="微软雅黑"/>
          <w:sz w:val="32"/>
          <w:szCs w:val="32"/>
          <w:u w:val="single"/>
        </w:rPr>
      </w:pP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5"/>
          <w:kern w:val="11"/>
          <w:sz w:val="13"/>
          <w:szCs w:val="13"/>
        </w:rPr>
        <w:t xml:space="preserve">       </w:t>
      </w:r>
      <w:r>
        <w:rPr>
          <w:rFonts w:hint="eastAsia" w:ascii="微软雅黑" w:hAnsi="微软雅黑" w:eastAsia="微软雅黑"/>
          <w:spacing w:val="45"/>
          <w:kern w:val="11"/>
          <w:sz w:val="15"/>
          <w:szCs w:val="15"/>
        </w:rPr>
        <w:t xml:space="preserve">   </w:t>
      </w:r>
      <w:r>
        <w:rPr>
          <w:rFonts w:hint="eastAsia" w:ascii="微软雅黑" w:hAnsi="微软雅黑" w:eastAsia="微软雅黑"/>
          <w:spacing w:val="34"/>
          <w:kern w:val="11"/>
          <w:sz w:val="32"/>
          <w:szCs w:val="32"/>
        </w:rPr>
        <w:t>学校执笔人</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陈贻明</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ind w:firstLine="540" w:firstLineChars="200"/>
        <w:rPr>
          <w:rFonts w:ascii="微软雅黑" w:hAnsi="微软雅黑" w:eastAsia="微软雅黑"/>
          <w:sz w:val="32"/>
          <w:szCs w:val="32"/>
          <w:highlight w:val="none"/>
          <w:u w:val="single"/>
        </w:rPr>
      </w:pPr>
      <w:r>
        <w:rPr>
          <w:rFonts w:hint="eastAsia" w:ascii="微软雅黑" w:hAnsi="微软雅黑" w:eastAsia="微软雅黑"/>
          <w:spacing w:val="45"/>
          <w:kern w:val="11"/>
          <w:sz w:val="18"/>
          <w:szCs w:val="18"/>
        </w:rPr>
        <w:t xml:space="preserve">    </w:t>
      </w: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0"/>
          <w:kern w:val="11"/>
          <w:sz w:val="15"/>
          <w:szCs w:val="15"/>
        </w:rPr>
        <w:t xml:space="preserve"> </w:t>
      </w:r>
      <w:r>
        <w:rPr>
          <w:rFonts w:hint="eastAsia" w:ascii="微软雅黑" w:hAnsi="微软雅黑" w:eastAsia="微软雅黑"/>
          <w:spacing w:val="40"/>
          <w:kern w:val="11"/>
          <w:sz w:val="32"/>
          <w:szCs w:val="32"/>
          <w:highlight w:val="none"/>
        </w:rPr>
        <w:t>企业参与人</w:t>
      </w:r>
      <w:r>
        <w:rPr>
          <w:rFonts w:hint="eastAsia" w:ascii="微软雅黑" w:hAnsi="微软雅黑" w:eastAsia="微软雅黑"/>
          <w:sz w:val="32"/>
          <w:szCs w:val="32"/>
          <w:highlight w:val="none"/>
        </w:rPr>
        <w:t>：</w:t>
      </w:r>
      <w:r>
        <w:rPr>
          <w:rFonts w:hint="eastAsia" w:ascii="微软雅黑" w:hAnsi="微软雅黑" w:eastAsia="微软雅黑"/>
          <w:sz w:val="32"/>
          <w:szCs w:val="32"/>
          <w:highlight w:val="none"/>
          <w:u w:val="single"/>
        </w:rPr>
        <w:t xml:space="preserve">    </w:t>
      </w:r>
      <w:r>
        <w:rPr>
          <w:rFonts w:hint="eastAsia" w:ascii="微软雅黑" w:hAnsi="微软雅黑" w:eastAsia="微软雅黑"/>
          <w:sz w:val="32"/>
          <w:szCs w:val="32"/>
          <w:highlight w:val="none"/>
          <w:u w:val="single"/>
          <w:lang w:val="en-US" w:eastAsia="zh-CN"/>
        </w:rPr>
        <w:t xml:space="preserve">   </w:t>
      </w:r>
      <w:r>
        <w:rPr>
          <w:rFonts w:hint="eastAsia" w:ascii="微软雅黑" w:hAnsi="微软雅黑" w:eastAsia="微软雅黑"/>
          <w:sz w:val="32"/>
          <w:szCs w:val="32"/>
          <w:highlight w:val="none"/>
          <w:u w:val="single"/>
        </w:rPr>
        <w:t xml:space="preserve"> 龙登钦         </w:t>
      </w:r>
      <w:r>
        <w:rPr>
          <w:rFonts w:ascii="微软雅黑" w:hAnsi="微软雅黑" w:eastAsia="微软雅黑"/>
          <w:sz w:val="32"/>
          <w:szCs w:val="32"/>
          <w:highlight w:val="none"/>
          <w:u w:val="single"/>
        </w:rPr>
        <w:t xml:space="preserve"> </w:t>
      </w:r>
    </w:p>
    <w:p>
      <w:pPr>
        <w:adjustRightInd w:val="0"/>
        <w:snapToGrid w:val="0"/>
        <w:spacing w:line="700" w:lineRule="exact"/>
        <w:ind w:firstLine="1200" w:firstLineChars="500"/>
        <w:rPr>
          <w:rFonts w:ascii="微软雅黑" w:hAnsi="微软雅黑" w:eastAsia="微软雅黑"/>
          <w:sz w:val="32"/>
          <w:szCs w:val="32"/>
        </w:rPr>
      </w:pP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0"/>
          <w:kern w:val="11"/>
          <w:sz w:val="32"/>
          <w:szCs w:val="32"/>
        </w:rPr>
        <w:t>方案审核人</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吴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勇</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bookmarkEnd w:id="3"/>
    <w:p>
      <w:pPr>
        <w:adjustRightInd w:val="0"/>
        <w:snapToGrid w:val="0"/>
        <w:spacing w:line="700" w:lineRule="exact"/>
        <w:ind w:firstLine="760" w:firstLineChars="400"/>
        <w:rPr>
          <w:rFonts w:ascii="微软雅黑" w:hAnsi="微软雅黑" w:eastAsia="微软雅黑"/>
          <w:sz w:val="32"/>
          <w:szCs w:val="32"/>
        </w:rPr>
      </w:pPr>
      <w:r>
        <w:rPr>
          <w:rFonts w:hint="eastAsia" w:ascii="微软雅黑" w:hAnsi="微软雅黑" w:eastAsia="微软雅黑"/>
          <w:spacing w:val="45"/>
          <w:kern w:val="11"/>
          <w:sz w:val="10"/>
          <w:szCs w:val="10"/>
        </w:rPr>
        <w:t xml:space="preserve">        </w:t>
      </w:r>
      <w:r>
        <w:rPr>
          <w:rFonts w:hint="eastAsia" w:ascii="微软雅黑" w:hAnsi="微软雅黑" w:eastAsia="微软雅黑"/>
          <w:spacing w:val="85"/>
          <w:kern w:val="11"/>
          <w:sz w:val="32"/>
          <w:szCs w:val="32"/>
        </w:rPr>
        <w:t>制订时间</w:t>
      </w:r>
      <w:r>
        <w:rPr>
          <w:rFonts w:hint="eastAsia" w:ascii="微软雅黑" w:hAnsi="微软雅黑" w:eastAsia="微软雅黑"/>
          <w:sz w:val="32"/>
          <w:szCs w:val="32"/>
        </w:rPr>
        <w:t>：</w:t>
      </w:r>
      <w:bookmarkStart w:id="4" w:name="_Hlk20218977"/>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2023</w:t>
      </w:r>
      <w:r>
        <w:rPr>
          <w:rFonts w:hint="eastAsia" w:ascii="微软雅黑" w:hAnsi="微软雅黑" w:eastAsia="微软雅黑"/>
          <w:sz w:val="32"/>
          <w:szCs w:val="32"/>
          <w:u w:val="single"/>
        </w:rPr>
        <w:t>年</w:t>
      </w:r>
      <w:r>
        <w:rPr>
          <w:rFonts w:ascii="微软雅黑" w:hAnsi="微软雅黑" w:eastAsia="微软雅黑"/>
          <w:sz w:val="32"/>
          <w:szCs w:val="32"/>
          <w:u w:val="single"/>
        </w:rPr>
        <w:t>5</w:t>
      </w:r>
      <w:r>
        <w:rPr>
          <w:rFonts w:hint="eastAsia" w:ascii="微软雅黑" w:hAnsi="微软雅黑" w:eastAsia="微软雅黑"/>
          <w:sz w:val="32"/>
          <w:szCs w:val="32"/>
          <w:u w:val="single"/>
        </w:rPr>
        <w:t>月2</w:t>
      </w:r>
      <w:r>
        <w:rPr>
          <w:rFonts w:ascii="微软雅黑" w:hAnsi="微软雅黑" w:eastAsia="微软雅黑"/>
          <w:sz w:val="32"/>
          <w:szCs w:val="32"/>
          <w:u w:val="single"/>
        </w:rPr>
        <w:t>5</w:t>
      </w:r>
      <w:r>
        <w:rPr>
          <w:rFonts w:hint="eastAsia" w:ascii="微软雅黑" w:hAnsi="微软雅黑" w:eastAsia="微软雅黑"/>
          <w:sz w:val="32"/>
          <w:szCs w:val="32"/>
          <w:u w:val="single"/>
        </w:rPr>
        <w:t xml:space="preserve">日 </w:t>
      </w:r>
      <w:r>
        <w:rPr>
          <w:rFonts w:ascii="微软雅黑" w:hAnsi="微软雅黑" w:eastAsia="微软雅黑"/>
          <w:sz w:val="32"/>
          <w:szCs w:val="32"/>
          <w:u w:val="single"/>
        </w:rPr>
        <w:t xml:space="preserve">   </w:t>
      </w:r>
    </w:p>
    <w:bookmarkEnd w:id="2"/>
    <w:bookmarkEnd w:id="4"/>
    <w:p>
      <w:pPr>
        <w:adjustRightInd w:val="0"/>
        <w:snapToGrid w:val="0"/>
        <w:spacing w:line="700" w:lineRule="exact"/>
        <w:jc w:val="center"/>
        <w:rPr>
          <w:rFonts w:ascii="微软雅黑" w:hAnsi="微软雅黑" w:eastAsia="微软雅黑"/>
          <w:sz w:val="36"/>
          <w:szCs w:val="36"/>
        </w:rPr>
      </w:pPr>
    </w:p>
    <w:p/>
    <w:p/>
    <w:p>
      <w:pPr>
        <w:widowControl/>
        <w:jc w:val="center"/>
        <w:rPr>
          <w:rFonts w:ascii="Times New Roman" w:hAnsi="Times New Roman" w:eastAsia="方正仿宋简体" w:cs="Times New Roman"/>
          <w:szCs w:val="21"/>
        </w:rPr>
      </w:pPr>
      <w:r>
        <w:rPr>
          <w:rFonts w:ascii="Times New Roman" w:hAnsi="Times New Roman" w:eastAsia="方正仿宋简体" w:cs="Times New Roman"/>
          <w:szCs w:val="21"/>
        </w:rPr>
        <w:t>202</w:t>
      </w:r>
      <w:r>
        <w:rPr>
          <w:rFonts w:hint="eastAsia" w:ascii="Times New Roman" w:hAnsi="Times New Roman" w:eastAsia="方正仿宋简体" w:cs="Times New Roman"/>
          <w:szCs w:val="21"/>
        </w:rPr>
        <w:t>3年 教务处制版</w:t>
      </w:r>
    </w:p>
    <w:p>
      <w:pPr>
        <w:widowControl/>
        <w:jc w:val="center"/>
        <w:rPr>
          <w:rFonts w:ascii="Times New Roman" w:hAnsi="Times New Roman" w:eastAsia="方正仿宋简体" w:cs="Times New Roman"/>
          <w:szCs w:val="21"/>
        </w:rPr>
      </w:pPr>
    </w:p>
    <w:bookmarkEnd w:id="1"/>
    <w:sdt>
      <w:sdtPr>
        <w:rPr>
          <w:rFonts w:hint="eastAsia" w:ascii="微软雅黑" w:hAnsi="微软雅黑" w:eastAsia="微软雅黑" w:cs="微软雅黑"/>
          <w:b/>
          <w:bCs/>
          <w:color w:val="auto"/>
          <w:kern w:val="2"/>
          <w:sz w:val="21"/>
          <w:szCs w:val="22"/>
          <w:lang w:val="zh-CN"/>
        </w:rPr>
        <w:id w:val="1811904545"/>
        <w:docPartObj>
          <w:docPartGallery w:val="Table of Contents"/>
          <w:docPartUnique/>
        </w:docPartObj>
      </w:sdtPr>
      <w:sdtEndPr>
        <w:rPr>
          <w:rFonts w:hint="eastAsia" w:asciiTheme="minorHAnsi" w:hAnsiTheme="minorHAnsi" w:eastAsiaTheme="minorEastAsia" w:cstheme="minorBidi"/>
          <w:b/>
          <w:bCs/>
          <w:color w:val="auto"/>
          <w:kern w:val="2"/>
          <w:sz w:val="24"/>
          <w:szCs w:val="24"/>
          <w:lang w:val="zh-CN"/>
        </w:rPr>
      </w:sdtEndPr>
      <w:sdtContent>
        <w:p>
          <w:pPr>
            <w:pStyle w:val="28"/>
            <w:adjustRightInd w:val="0"/>
            <w:snapToGrid w:val="0"/>
            <w:spacing w:before="0" w:line="240" w:lineRule="atLeast"/>
            <w:jc w:val="center"/>
            <w:rPr>
              <w:rFonts w:ascii="微软雅黑" w:hAnsi="微软雅黑" w:eastAsia="微软雅黑" w:cs="微软雅黑"/>
              <w:b/>
              <w:bCs/>
              <w:color w:val="auto"/>
            </w:rPr>
          </w:pPr>
          <w:r>
            <w:rPr>
              <w:rFonts w:hint="eastAsia" w:ascii="微软雅黑" w:hAnsi="微软雅黑" w:eastAsia="微软雅黑" w:cs="微软雅黑"/>
              <w:b/>
              <w:bCs/>
              <w:color w:val="auto"/>
              <w:lang w:val="zh-CN"/>
            </w:rPr>
            <w:t>目  录</w:t>
          </w:r>
        </w:p>
        <w:p>
          <w:pPr>
            <w:pStyle w:val="11"/>
            <w:tabs>
              <w:tab w:val="right" w:leader="dot" w:pos="9014"/>
            </w:tabs>
            <w:adjustRightInd w:val="0"/>
            <w:snapToGrid w:val="0"/>
            <w:spacing w:line="460" w:lineRule="atLeast"/>
            <w:rPr>
              <w:b/>
              <w:bCs/>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TOC \o "1-3" \h \z \u </w:instrText>
          </w:r>
          <w:r>
            <w:rPr>
              <w:rFonts w:hint="eastAsia" w:ascii="微软雅黑" w:hAnsi="微软雅黑" w:eastAsia="微软雅黑" w:cs="微软雅黑"/>
              <w:sz w:val="24"/>
              <w:szCs w:val="24"/>
            </w:rPr>
            <w:fldChar w:fldCharType="separate"/>
          </w:r>
          <w:r>
            <w:fldChar w:fldCharType="begin"/>
          </w:r>
          <w:r>
            <w:instrText xml:space="preserve"> HYPERLINK \l "_Toc31048" </w:instrText>
          </w:r>
          <w:r>
            <w:fldChar w:fldCharType="separate"/>
          </w:r>
          <w:r>
            <w:rPr>
              <w:rFonts w:hint="eastAsia" w:ascii="微软雅黑" w:hAnsi="微软雅黑" w:eastAsia="微软雅黑" w:cs="微软雅黑"/>
              <w:b/>
              <w:bCs/>
              <w:sz w:val="24"/>
              <w:szCs w:val="24"/>
            </w:rPr>
            <w:t>一、专业名称及代码</w:t>
          </w:r>
          <w:r>
            <w:rPr>
              <w:b/>
              <w:bCs/>
              <w:sz w:val="24"/>
              <w:szCs w:val="24"/>
            </w:rPr>
            <w:tab/>
          </w:r>
          <w:r>
            <w:rPr>
              <w:b/>
              <w:bCs/>
              <w:sz w:val="24"/>
              <w:szCs w:val="24"/>
            </w:rPr>
            <w:fldChar w:fldCharType="begin"/>
          </w:r>
          <w:r>
            <w:rPr>
              <w:b/>
              <w:bCs/>
              <w:sz w:val="24"/>
              <w:szCs w:val="24"/>
            </w:rPr>
            <w:instrText xml:space="preserve"> PAGEREF _Toc31048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"_Toc22237" </w:instrText>
          </w:r>
          <w:r>
            <w:fldChar w:fldCharType="separate"/>
          </w:r>
          <w:r>
            <w:rPr>
              <w:rFonts w:hint="eastAsia" w:ascii="微软雅黑" w:hAnsi="微软雅黑" w:eastAsia="微软雅黑" w:cs="微软雅黑"/>
              <w:b/>
              <w:bCs/>
              <w:sz w:val="24"/>
              <w:szCs w:val="24"/>
            </w:rPr>
            <w:t>二、入学要求</w:t>
          </w:r>
          <w:r>
            <w:rPr>
              <w:b/>
              <w:bCs/>
              <w:sz w:val="24"/>
              <w:szCs w:val="24"/>
            </w:rPr>
            <w:tab/>
          </w:r>
          <w:r>
            <w:rPr>
              <w:b/>
              <w:bCs/>
              <w:sz w:val="24"/>
              <w:szCs w:val="24"/>
            </w:rPr>
            <w:fldChar w:fldCharType="begin"/>
          </w:r>
          <w:r>
            <w:rPr>
              <w:b/>
              <w:bCs/>
              <w:sz w:val="24"/>
              <w:szCs w:val="24"/>
            </w:rPr>
            <w:instrText xml:space="preserve"> PAGEREF _Toc22237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"_Toc26096" </w:instrText>
          </w:r>
          <w:r>
            <w:fldChar w:fldCharType="separate"/>
          </w:r>
          <w:r>
            <w:rPr>
              <w:rFonts w:hint="eastAsia" w:ascii="微软雅黑" w:hAnsi="微软雅黑" w:eastAsia="微软雅黑" w:cs="微软雅黑"/>
              <w:b/>
              <w:bCs/>
              <w:sz w:val="24"/>
              <w:szCs w:val="24"/>
            </w:rPr>
            <w:t>三、基本修业年限</w:t>
          </w:r>
          <w:r>
            <w:rPr>
              <w:b/>
              <w:bCs/>
              <w:sz w:val="24"/>
              <w:szCs w:val="24"/>
            </w:rPr>
            <w:tab/>
          </w:r>
          <w:r>
            <w:rPr>
              <w:b/>
              <w:bCs/>
              <w:sz w:val="24"/>
              <w:szCs w:val="24"/>
            </w:rPr>
            <w:fldChar w:fldCharType="begin"/>
          </w:r>
          <w:r>
            <w:rPr>
              <w:b/>
              <w:bCs/>
              <w:sz w:val="24"/>
              <w:szCs w:val="24"/>
            </w:rPr>
            <w:instrText xml:space="preserve"> PAGEREF _Toc26096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"_Toc23791" </w:instrText>
          </w:r>
          <w:r>
            <w:fldChar w:fldCharType="separate"/>
          </w:r>
          <w:r>
            <w:rPr>
              <w:rFonts w:hint="eastAsia" w:ascii="微软雅黑" w:hAnsi="微软雅黑" w:eastAsia="微软雅黑" w:cs="微软雅黑"/>
              <w:b/>
              <w:bCs/>
              <w:sz w:val="24"/>
              <w:szCs w:val="24"/>
            </w:rPr>
            <w:t>四、职业面向</w:t>
          </w:r>
          <w:r>
            <w:rPr>
              <w:b/>
              <w:bCs/>
              <w:sz w:val="24"/>
              <w:szCs w:val="24"/>
            </w:rPr>
            <w:tab/>
          </w:r>
          <w:r>
            <w:rPr>
              <w:b/>
              <w:bCs/>
              <w:sz w:val="24"/>
              <w:szCs w:val="24"/>
            </w:rPr>
            <w:fldChar w:fldCharType="begin"/>
          </w:r>
          <w:r>
            <w:rPr>
              <w:b/>
              <w:bCs/>
              <w:sz w:val="24"/>
              <w:szCs w:val="24"/>
            </w:rPr>
            <w:instrText xml:space="preserve"> PAGEREF _Toc23791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fldChar w:fldCharType="begin"/>
          </w:r>
          <w:r>
            <w:instrText xml:space="preserve"> HYPERLINK \l "_Toc5898" </w:instrText>
          </w:r>
          <w:r>
            <w:fldChar w:fldCharType="separate"/>
          </w:r>
          <w:r>
            <w:rPr>
              <w:rFonts w:hint="eastAsia" w:ascii="微软雅黑" w:hAnsi="微软雅黑" w:eastAsia="微软雅黑" w:cs="微软雅黑"/>
              <w:b/>
              <w:bCs/>
              <w:sz w:val="24"/>
              <w:szCs w:val="24"/>
            </w:rPr>
            <w:t>五、培养目标与培养规格</w:t>
          </w:r>
          <w:r>
            <w:rPr>
              <w:b/>
              <w:bCs/>
              <w:sz w:val="24"/>
              <w:szCs w:val="24"/>
            </w:rPr>
            <w:tab/>
          </w:r>
          <w:r>
            <w:rPr>
              <w:b/>
              <w:bCs/>
              <w:sz w:val="24"/>
              <w:szCs w:val="24"/>
            </w:rPr>
            <w:fldChar w:fldCharType="begin"/>
          </w:r>
          <w:r>
            <w:rPr>
              <w:b/>
              <w:bCs/>
              <w:sz w:val="24"/>
              <w:szCs w:val="24"/>
            </w:rPr>
            <w:instrText xml:space="preserve"> PAGEREF _Toc5898 \h </w:instrText>
          </w:r>
          <w:r>
            <w:rPr>
              <w:b/>
              <w:bCs/>
              <w:sz w:val="24"/>
              <w:szCs w:val="24"/>
            </w:rPr>
            <w:fldChar w:fldCharType="separate"/>
          </w:r>
          <w:r>
            <w:rPr>
              <w:b/>
              <w:bCs/>
              <w:sz w:val="24"/>
              <w:szCs w:val="24"/>
            </w:rPr>
            <w:t>2</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"_Toc11718" </w:instrText>
          </w:r>
          <w:r>
            <w:fldChar w:fldCharType="separate"/>
          </w:r>
          <w:r>
            <w:rPr>
              <w:rFonts w:hint="eastAsia" w:ascii="微软雅黑" w:hAnsi="微软雅黑" w:eastAsia="微软雅黑" w:cs="微软雅黑"/>
              <w:sz w:val="24"/>
              <w:szCs w:val="24"/>
            </w:rPr>
            <w:t>（一）培养目标</w:t>
          </w:r>
          <w:r>
            <w:rPr>
              <w:sz w:val="24"/>
              <w:szCs w:val="24"/>
            </w:rPr>
            <w:tab/>
          </w:r>
          <w:r>
            <w:rPr>
              <w:sz w:val="24"/>
              <w:szCs w:val="24"/>
            </w:rPr>
            <w:fldChar w:fldCharType="begin"/>
          </w:r>
          <w:r>
            <w:rPr>
              <w:sz w:val="24"/>
              <w:szCs w:val="24"/>
            </w:rPr>
            <w:instrText xml:space="preserve"> PAGEREF _Toc11718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"_Toc24970" </w:instrText>
          </w:r>
          <w:r>
            <w:fldChar w:fldCharType="separate"/>
          </w:r>
          <w:r>
            <w:rPr>
              <w:rFonts w:hint="eastAsia" w:ascii="微软雅黑" w:hAnsi="微软雅黑" w:eastAsia="微软雅黑" w:cs="微软雅黑"/>
              <w:sz w:val="24"/>
              <w:szCs w:val="24"/>
            </w:rPr>
            <w:t>（二）培养规格</w:t>
          </w:r>
          <w:r>
            <w:rPr>
              <w:sz w:val="24"/>
              <w:szCs w:val="24"/>
            </w:rPr>
            <w:tab/>
          </w:r>
          <w:r>
            <w:rPr>
              <w:sz w:val="24"/>
              <w:szCs w:val="24"/>
            </w:rPr>
            <w:fldChar w:fldCharType="begin"/>
          </w:r>
          <w:r>
            <w:rPr>
              <w:sz w:val="24"/>
              <w:szCs w:val="24"/>
            </w:rPr>
            <w:instrText xml:space="preserve"> PAGEREF _Toc24970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"_Toc13958" </w:instrText>
          </w:r>
          <w:r>
            <w:fldChar w:fldCharType="separate"/>
          </w:r>
          <w:r>
            <w:rPr>
              <w:rFonts w:hint="eastAsia" w:ascii="微软雅黑" w:hAnsi="微软雅黑" w:eastAsia="微软雅黑" w:cs="微软雅黑"/>
              <w:b/>
              <w:bCs/>
              <w:sz w:val="24"/>
              <w:szCs w:val="24"/>
            </w:rPr>
            <w:t>六、课程设置及学时安排</w:t>
          </w:r>
          <w:r>
            <w:rPr>
              <w:b/>
              <w:bCs/>
              <w:sz w:val="24"/>
              <w:szCs w:val="24"/>
            </w:rPr>
            <w:tab/>
          </w:r>
          <w:r>
            <w:rPr>
              <w:b/>
              <w:bCs/>
              <w:sz w:val="24"/>
              <w:szCs w:val="24"/>
            </w:rPr>
            <w:fldChar w:fldCharType="begin"/>
          </w:r>
          <w:r>
            <w:rPr>
              <w:b/>
              <w:bCs/>
              <w:sz w:val="24"/>
              <w:szCs w:val="24"/>
            </w:rPr>
            <w:instrText xml:space="preserve"> PAGEREF _Toc13958 \h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"_Toc7725" </w:instrText>
          </w:r>
          <w:r>
            <w:fldChar w:fldCharType="separate"/>
          </w:r>
          <w:r>
            <w:rPr>
              <w:rFonts w:hint="eastAsia" w:ascii="微软雅黑" w:hAnsi="微软雅黑" w:eastAsia="微软雅黑" w:cs="微软雅黑"/>
              <w:sz w:val="24"/>
              <w:szCs w:val="24"/>
            </w:rPr>
            <w:t>（一）岗课赛证融通</w:t>
          </w:r>
          <w:r>
            <w:rPr>
              <w:sz w:val="24"/>
              <w:szCs w:val="24"/>
            </w:rPr>
            <w:tab/>
          </w:r>
          <w:r>
            <w:rPr>
              <w:sz w:val="24"/>
              <w:szCs w:val="24"/>
            </w:rPr>
            <w:fldChar w:fldCharType="begin"/>
          </w:r>
          <w:r>
            <w:rPr>
              <w:sz w:val="24"/>
              <w:szCs w:val="24"/>
            </w:rPr>
            <w:instrText xml:space="preserve"> PAGEREF _Toc7725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"_Toc427" </w:instrText>
          </w:r>
          <w:r>
            <w:fldChar w:fldCharType="separate"/>
          </w:r>
          <w:r>
            <w:rPr>
              <w:rFonts w:hint="eastAsia" w:ascii="微软雅黑" w:hAnsi="微软雅黑" w:eastAsia="微软雅黑" w:cs="微软雅黑"/>
              <w:sz w:val="24"/>
              <w:szCs w:val="24"/>
            </w:rPr>
            <w:t>（二）课程体系设计</w:t>
          </w:r>
          <w:r>
            <w:rPr>
              <w:sz w:val="24"/>
              <w:szCs w:val="24"/>
            </w:rPr>
            <w:tab/>
          </w:r>
          <w:r>
            <w:rPr>
              <w:sz w:val="24"/>
              <w:szCs w:val="24"/>
            </w:rPr>
            <w:fldChar w:fldCharType="begin"/>
          </w:r>
          <w:r>
            <w:rPr>
              <w:sz w:val="24"/>
              <w:szCs w:val="24"/>
            </w:rPr>
            <w:instrText xml:space="preserve"> PAGEREF _Toc427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"_Toc5976" </w:instrText>
          </w:r>
          <w:r>
            <w:fldChar w:fldCharType="separate"/>
          </w:r>
          <w:r>
            <w:rPr>
              <w:rFonts w:hint="eastAsia" w:ascii="微软雅黑" w:hAnsi="微软雅黑" w:eastAsia="微软雅黑" w:cs="微软雅黑"/>
              <w:sz w:val="24"/>
              <w:szCs w:val="24"/>
            </w:rPr>
            <w:t>（三）课程类别与学时</w:t>
          </w:r>
          <w:r>
            <w:rPr>
              <w:sz w:val="24"/>
              <w:szCs w:val="24"/>
            </w:rPr>
            <w:tab/>
          </w:r>
          <w:r>
            <w:rPr>
              <w:sz w:val="24"/>
              <w:szCs w:val="24"/>
            </w:rPr>
            <w:fldChar w:fldCharType="begin"/>
          </w:r>
          <w:r>
            <w:rPr>
              <w:sz w:val="24"/>
              <w:szCs w:val="24"/>
            </w:rPr>
            <w:instrText xml:space="preserve"> PAGEREF _Toc5976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"_Toc13567" </w:instrText>
          </w:r>
          <w:r>
            <w:fldChar w:fldCharType="separate"/>
          </w:r>
          <w:r>
            <w:rPr>
              <w:rFonts w:hint="eastAsia" w:ascii="微软雅黑" w:hAnsi="微软雅黑" w:eastAsia="微软雅黑" w:cs="微软雅黑"/>
              <w:sz w:val="24"/>
              <w:szCs w:val="24"/>
            </w:rPr>
            <w:t>（四）学时安排</w:t>
          </w:r>
          <w:r>
            <w:rPr>
              <w:sz w:val="24"/>
              <w:szCs w:val="24"/>
            </w:rPr>
            <w:tab/>
          </w:r>
          <w:r>
            <w:rPr>
              <w:sz w:val="24"/>
              <w:szCs w:val="24"/>
            </w:rPr>
            <w:fldChar w:fldCharType="begin"/>
          </w:r>
          <w:r>
            <w:rPr>
              <w:sz w:val="24"/>
              <w:szCs w:val="24"/>
            </w:rPr>
            <w:instrText xml:space="preserve"> PAGEREF _Toc13567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"_Toc30014" </w:instrText>
          </w:r>
          <w:r>
            <w:fldChar w:fldCharType="separate"/>
          </w:r>
          <w:r>
            <w:rPr>
              <w:rFonts w:hint="eastAsia" w:ascii="微软雅黑" w:hAnsi="微软雅黑" w:eastAsia="微软雅黑" w:cs="微软雅黑"/>
              <w:b/>
              <w:bCs/>
              <w:sz w:val="24"/>
              <w:szCs w:val="24"/>
            </w:rPr>
            <w:t>七、教学进程总体安排</w:t>
          </w:r>
          <w:r>
            <w:rPr>
              <w:b/>
              <w:bCs/>
              <w:sz w:val="24"/>
              <w:szCs w:val="24"/>
            </w:rPr>
            <w:tab/>
          </w:r>
          <w:r>
            <w:rPr>
              <w:b/>
              <w:bCs/>
              <w:sz w:val="24"/>
              <w:szCs w:val="24"/>
            </w:rPr>
            <w:fldChar w:fldCharType="begin"/>
          </w:r>
          <w:r>
            <w:rPr>
              <w:b/>
              <w:bCs/>
              <w:sz w:val="24"/>
              <w:szCs w:val="24"/>
            </w:rPr>
            <w:instrText xml:space="preserve"> PAGEREF _Toc30014 \h </w:instrText>
          </w:r>
          <w:r>
            <w:rPr>
              <w:b/>
              <w:bCs/>
              <w:sz w:val="24"/>
              <w:szCs w:val="24"/>
            </w:rPr>
            <w:fldChar w:fldCharType="separate"/>
          </w:r>
          <w:r>
            <w:rPr>
              <w:b/>
              <w:bCs/>
              <w:sz w:val="24"/>
              <w:szCs w:val="24"/>
            </w:rPr>
            <w:t>17</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"_Toc3120" </w:instrText>
          </w:r>
          <w:r>
            <w:fldChar w:fldCharType="separate"/>
          </w:r>
          <w:r>
            <w:rPr>
              <w:rFonts w:hint="eastAsia" w:ascii="微软雅黑" w:hAnsi="微软雅黑" w:eastAsia="微软雅黑" w:cs="微软雅黑"/>
              <w:sz w:val="24"/>
              <w:szCs w:val="24"/>
            </w:rPr>
            <w:t>（一）教学周数分配</w:t>
          </w:r>
          <w:r>
            <w:rPr>
              <w:sz w:val="24"/>
              <w:szCs w:val="24"/>
            </w:rPr>
            <w:tab/>
          </w:r>
          <w:r>
            <w:rPr>
              <w:sz w:val="24"/>
              <w:szCs w:val="24"/>
            </w:rPr>
            <w:fldChar w:fldCharType="begin"/>
          </w:r>
          <w:r>
            <w:rPr>
              <w:sz w:val="24"/>
              <w:szCs w:val="24"/>
            </w:rPr>
            <w:instrText xml:space="preserve"> PAGEREF _Toc3120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"_Toc22961" </w:instrText>
          </w:r>
          <w:r>
            <w:fldChar w:fldCharType="separate"/>
          </w:r>
          <w:r>
            <w:rPr>
              <w:rFonts w:hint="eastAsia" w:ascii="微软雅黑" w:hAnsi="微软雅黑" w:eastAsia="微软雅黑" w:cs="微软雅黑"/>
              <w:sz w:val="24"/>
              <w:szCs w:val="24"/>
            </w:rPr>
            <w:t>（二）教学进程</w:t>
          </w:r>
          <w:r>
            <w:rPr>
              <w:sz w:val="24"/>
              <w:szCs w:val="24"/>
            </w:rPr>
            <w:tab/>
          </w:r>
          <w:r>
            <w:rPr>
              <w:sz w:val="24"/>
              <w:szCs w:val="24"/>
            </w:rPr>
            <w:fldChar w:fldCharType="begin"/>
          </w:r>
          <w:r>
            <w:rPr>
              <w:sz w:val="24"/>
              <w:szCs w:val="24"/>
            </w:rPr>
            <w:instrText xml:space="preserve"> PAGEREF _Toc22961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"_Toc1026" </w:instrText>
          </w:r>
          <w:r>
            <w:fldChar w:fldCharType="separate"/>
          </w:r>
          <w:r>
            <w:rPr>
              <w:rFonts w:hint="eastAsia" w:ascii="微软雅黑" w:hAnsi="微软雅黑" w:eastAsia="微软雅黑" w:cs="微软雅黑"/>
              <w:sz w:val="24"/>
              <w:szCs w:val="24"/>
            </w:rPr>
            <w:t>（三）各类型课程学时统计</w:t>
          </w:r>
          <w:r>
            <w:rPr>
              <w:sz w:val="24"/>
              <w:szCs w:val="24"/>
            </w:rPr>
            <w:tab/>
          </w:r>
          <w:r>
            <w:rPr>
              <w:sz w:val="24"/>
              <w:szCs w:val="24"/>
            </w:rPr>
            <w:fldChar w:fldCharType="begin"/>
          </w:r>
          <w:r>
            <w:rPr>
              <w:sz w:val="24"/>
              <w:szCs w:val="24"/>
            </w:rPr>
            <w:instrText xml:space="preserve"> PAGEREF _Toc1026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"_Toc21834" </w:instrText>
          </w:r>
          <w:r>
            <w:fldChar w:fldCharType="separate"/>
          </w:r>
          <w:r>
            <w:rPr>
              <w:rFonts w:hint="eastAsia" w:ascii="微软雅黑" w:hAnsi="微软雅黑" w:eastAsia="微软雅黑" w:cs="微软雅黑"/>
              <w:b/>
              <w:bCs/>
              <w:sz w:val="24"/>
              <w:szCs w:val="24"/>
            </w:rPr>
            <w:t>八、实施保障</w:t>
          </w:r>
          <w:r>
            <w:rPr>
              <w:b/>
              <w:bCs/>
              <w:sz w:val="24"/>
              <w:szCs w:val="24"/>
            </w:rPr>
            <w:tab/>
          </w:r>
          <w:r>
            <w:rPr>
              <w:b/>
              <w:bCs/>
              <w:sz w:val="24"/>
              <w:szCs w:val="24"/>
            </w:rPr>
            <w:fldChar w:fldCharType="begin"/>
          </w:r>
          <w:r>
            <w:rPr>
              <w:b/>
              <w:bCs/>
              <w:sz w:val="24"/>
              <w:szCs w:val="24"/>
            </w:rPr>
            <w:instrText xml:space="preserve"> PAGEREF _Toc21834 \h </w:instrText>
          </w:r>
          <w:r>
            <w:rPr>
              <w:b/>
              <w:bCs/>
              <w:sz w:val="24"/>
              <w:szCs w:val="24"/>
            </w:rPr>
            <w:fldChar w:fldCharType="separate"/>
          </w:r>
          <w:r>
            <w:rPr>
              <w:b/>
              <w:bCs/>
              <w:sz w:val="24"/>
              <w:szCs w:val="24"/>
            </w:rPr>
            <w:t>18</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"_Toc11547" </w:instrText>
          </w:r>
          <w:r>
            <w:fldChar w:fldCharType="separate"/>
          </w:r>
          <w:r>
            <w:rPr>
              <w:rFonts w:hint="eastAsia" w:ascii="微软雅黑" w:hAnsi="微软雅黑" w:eastAsia="微软雅黑" w:cs="微软雅黑"/>
              <w:sz w:val="24"/>
              <w:szCs w:val="24"/>
            </w:rPr>
            <w:t>（一）师资队伍</w:t>
          </w:r>
          <w:r>
            <w:rPr>
              <w:sz w:val="24"/>
              <w:szCs w:val="24"/>
            </w:rPr>
            <w:tab/>
          </w:r>
          <w:r>
            <w:rPr>
              <w:sz w:val="24"/>
              <w:szCs w:val="24"/>
            </w:rPr>
            <w:fldChar w:fldCharType="begin"/>
          </w:r>
          <w:r>
            <w:rPr>
              <w:sz w:val="24"/>
              <w:szCs w:val="24"/>
            </w:rPr>
            <w:instrText xml:space="preserve"> PAGEREF _Toc11547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"_Toc17448" </w:instrText>
          </w:r>
          <w:r>
            <w:fldChar w:fldCharType="separate"/>
          </w:r>
          <w:r>
            <w:rPr>
              <w:rFonts w:hint="eastAsia" w:ascii="微软雅黑" w:hAnsi="微软雅黑" w:eastAsia="微软雅黑" w:cs="微软雅黑"/>
              <w:sz w:val="24"/>
              <w:szCs w:val="24"/>
            </w:rPr>
            <w:t>（二）教学设施</w:t>
          </w:r>
          <w:r>
            <w:rPr>
              <w:sz w:val="24"/>
              <w:szCs w:val="24"/>
            </w:rPr>
            <w:tab/>
          </w:r>
          <w:r>
            <w:rPr>
              <w:sz w:val="24"/>
              <w:szCs w:val="24"/>
            </w:rPr>
            <w:fldChar w:fldCharType="begin"/>
          </w:r>
          <w:r>
            <w:rPr>
              <w:sz w:val="24"/>
              <w:szCs w:val="24"/>
            </w:rPr>
            <w:instrText xml:space="preserve"> PAGEREF _Toc17448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"_Toc29292" </w:instrText>
          </w:r>
          <w:r>
            <w:fldChar w:fldCharType="separate"/>
          </w:r>
          <w:r>
            <w:rPr>
              <w:rFonts w:hint="eastAsia" w:ascii="微软雅黑" w:hAnsi="微软雅黑" w:eastAsia="微软雅黑" w:cs="微软雅黑"/>
              <w:sz w:val="24"/>
              <w:szCs w:val="24"/>
            </w:rPr>
            <w:t>（三）教学资源</w:t>
          </w:r>
          <w:r>
            <w:rPr>
              <w:sz w:val="24"/>
              <w:szCs w:val="24"/>
            </w:rPr>
            <w:tab/>
          </w:r>
          <w:r>
            <w:rPr>
              <w:sz w:val="24"/>
              <w:szCs w:val="24"/>
            </w:rPr>
            <w:fldChar w:fldCharType="begin"/>
          </w:r>
          <w:r>
            <w:rPr>
              <w:sz w:val="24"/>
              <w:szCs w:val="24"/>
            </w:rPr>
            <w:instrText xml:space="preserve"> PAGEREF _Toc29292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"_Toc27362" </w:instrText>
          </w:r>
          <w:r>
            <w:fldChar w:fldCharType="separate"/>
          </w:r>
          <w:r>
            <w:rPr>
              <w:rFonts w:hint="eastAsia" w:ascii="微软雅黑" w:hAnsi="微软雅黑" w:eastAsia="微软雅黑" w:cs="微软雅黑"/>
              <w:sz w:val="24"/>
              <w:szCs w:val="24"/>
            </w:rPr>
            <w:t>（四）教学方法</w:t>
          </w:r>
          <w:r>
            <w:rPr>
              <w:sz w:val="24"/>
              <w:szCs w:val="24"/>
            </w:rPr>
            <w:tab/>
          </w:r>
          <w:r>
            <w:rPr>
              <w:sz w:val="24"/>
              <w:szCs w:val="24"/>
            </w:rPr>
            <w:fldChar w:fldCharType="begin"/>
          </w:r>
          <w:r>
            <w:rPr>
              <w:sz w:val="24"/>
              <w:szCs w:val="24"/>
            </w:rPr>
            <w:instrText xml:space="preserve"> PAGEREF _Toc27362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"_Toc3474" </w:instrText>
          </w:r>
          <w:r>
            <w:fldChar w:fldCharType="separate"/>
          </w:r>
          <w:r>
            <w:rPr>
              <w:rFonts w:hint="eastAsia" w:ascii="微软雅黑" w:hAnsi="微软雅黑" w:eastAsia="微软雅黑" w:cs="微软雅黑"/>
              <w:sz w:val="24"/>
              <w:szCs w:val="24"/>
            </w:rPr>
            <w:t>（五）学习评价</w:t>
          </w:r>
          <w:r>
            <w:rPr>
              <w:sz w:val="24"/>
              <w:szCs w:val="24"/>
            </w:rPr>
            <w:tab/>
          </w:r>
          <w:r>
            <w:rPr>
              <w:sz w:val="24"/>
              <w:szCs w:val="24"/>
            </w:rPr>
            <w:fldChar w:fldCharType="begin"/>
          </w:r>
          <w:r>
            <w:rPr>
              <w:sz w:val="24"/>
              <w:szCs w:val="24"/>
            </w:rPr>
            <w:instrText xml:space="preserve"> PAGEREF _Toc3474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"_Toc5373" </w:instrText>
          </w:r>
          <w:r>
            <w:fldChar w:fldCharType="separate"/>
          </w:r>
          <w:r>
            <w:rPr>
              <w:rFonts w:hint="eastAsia" w:ascii="微软雅黑" w:hAnsi="微软雅黑" w:eastAsia="微软雅黑" w:cs="微软雅黑"/>
              <w:sz w:val="24"/>
              <w:szCs w:val="24"/>
            </w:rPr>
            <w:t>（六）质量管理</w:t>
          </w:r>
          <w:r>
            <w:rPr>
              <w:sz w:val="24"/>
              <w:szCs w:val="24"/>
            </w:rPr>
            <w:tab/>
          </w:r>
          <w:r>
            <w:rPr>
              <w:sz w:val="24"/>
              <w:szCs w:val="24"/>
            </w:rPr>
            <w:fldChar w:fldCharType="begin"/>
          </w:r>
          <w:r>
            <w:rPr>
              <w:sz w:val="24"/>
              <w:szCs w:val="24"/>
            </w:rPr>
            <w:instrText xml:space="preserve"> PAGEREF _Toc5373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"_Toc13622" </w:instrText>
          </w:r>
          <w:r>
            <w:fldChar w:fldCharType="separate"/>
          </w:r>
          <w:r>
            <w:rPr>
              <w:rFonts w:hint="eastAsia" w:ascii="微软雅黑" w:hAnsi="微软雅黑" w:eastAsia="微软雅黑" w:cs="微软雅黑"/>
              <w:b/>
              <w:bCs/>
              <w:sz w:val="24"/>
              <w:szCs w:val="24"/>
            </w:rPr>
            <w:t>九、毕业要求</w:t>
          </w:r>
          <w:r>
            <w:rPr>
              <w:b/>
              <w:bCs/>
              <w:sz w:val="24"/>
              <w:szCs w:val="24"/>
            </w:rPr>
            <w:tab/>
          </w:r>
          <w:r>
            <w:rPr>
              <w:b/>
              <w:bCs/>
              <w:sz w:val="24"/>
              <w:szCs w:val="24"/>
            </w:rPr>
            <w:fldChar w:fldCharType="begin"/>
          </w:r>
          <w:r>
            <w:rPr>
              <w:b/>
              <w:bCs/>
              <w:sz w:val="24"/>
              <w:szCs w:val="24"/>
            </w:rPr>
            <w:instrText xml:space="preserve"> PAGEREF _Toc13622 \h </w:instrText>
          </w:r>
          <w:r>
            <w:rPr>
              <w:b/>
              <w:bCs/>
              <w:sz w:val="24"/>
              <w:szCs w:val="24"/>
            </w:rPr>
            <w:fldChar w:fldCharType="separate"/>
          </w:r>
          <w:r>
            <w:rPr>
              <w:b/>
              <w:bCs/>
              <w:sz w:val="24"/>
              <w:szCs w:val="24"/>
            </w:rPr>
            <w:t>22</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fldChar w:fldCharType="begin"/>
          </w:r>
          <w:r>
            <w:instrText xml:space="preserve"> HYPERLINK \l "_Toc25165" </w:instrText>
          </w:r>
          <w:r>
            <w:fldChar w:fldCharType="separate"/>
          </w:r>
          <w:r>
            <w:rPr>
              <w:rFonts w:hint="eastAsia" w:ascii="微软雅黑" w:hAnsi="微软雅黑" w:eastAsia="微软雅黑" w:cs="微软雅黑"/>
              <w:b/>
              <w:bCs/>
              <w:sz w:val="24"/>
              <w:szCs w:val="24"/>
            </w:rPr>
            <w:t>十、附录</w:t>
          </w:r>
          <w:r>
            <w:rPr>
              <w:b/>
              <w:bCs/>
              <w:sz w:val="24"/>
              <w:szCs w:val="24"/>
            </w:rPr>
            <w:tab/>
          </w:r>
          <w:r>
            <w:rPr>
              <w:b/>
              <w:bCs/>
              <w:sz w:val="24"/>
              <w:szCs w:val="24"/>
            </w:rPr>
            <w:fldChar w:fldCharType="begin"/>
          </w:r>
          <w:r>
            <w:rPr>
              <w:b/>
              <w:bCs/>
              <w:sz w:val="24"/>
              <w:szCs w:val="24"/>
            </w:rPr>
            <w:instrText xml:space="preserve"> PAGEREF _Toc25165 \h </w:instrText>
          </w:r>
          <w:r>
            <w:rPr>
              <w:b/>
              <w:bCs/>
              <w:sz w:val="24"/>
              <w:szCs w:val="24"/>
            </w:rPr>
            <w:fldChar w:fldCharType="separate"/>
          </w:r>
          <w:r>
            <w:rPr>
              <w:b/>
              <w:bCs/>
              <w:sz w:val="24"/>
              <w:szCs w:val="24"/>
            </w:rPr>
            <w:t>24</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rPr>
              <w:rFonts w:hint="eastAsia" w:ascii="微软雅黑" w:hAnsi="微软雅黑" w:eastAsia="微软雅黑" w:cs="微软雅黑"/>
              <w:bCs/>
              <w:sz w:val="24"/>
              <w:szCs w:val="24"/>
              <w:lang w:val="zh-CN"/>
            </w:rPr>
            <w:fldChar w:fldCharType="end"/>
          </w:r>
        </w:p>
      </w:sdtContent>
    </w:sdt>
    <w:p>
      <w:pPr>
        <w:widowControl/>
        <w:jc w:val="left"/>
        <w:rPr>
          <w:rFonts w:ascii="Times New Roman" w:hAnsi="Times New Roman" w:eastAsia="方正仿宋简体" w:cs="Times New Roman"/>
          <w:sz w:val="24"/>
          <w:szCs w:val="24"/>
        </w:rPr>
      </w:pPr>
    </w:p>
    <w:p>
      <w:pPr>
        <w:widowControl/>
        <w:jc w:val="left"/>
        <w:rPr>
          <w:rStyle w:val="34"/>
          <w:rFonts w:ascii="微软雅黑" w:hAnsi="微软雅黑" w:eastAsia="微软雅黑" w:cs="微软雅黑"/>
          <w:b/>
          <w:bCs/>
          <w:color w:val="auto"/>
        </w:rPr>
      </w:pPr>
      <w:r>
        <w:rPr>
          <w:rStyle w:val="34"/>
          <w:rFonts w:ascii="微软雅黑" w:hAnsi="微软雅黑" w:eastAsia="微软雅黑" w:cs="微软雅黑"/>
          <w:b/>
          <w:bCs/>
          <w:color w:val="auto"/>
        </w:rPr>
        <w:br w:type="page"/>
      </w:r>
    </w:p>
    <w:p>
      <w:pPr>
        <w:widowControl/>
        <w:spacing w:line="480" w:lineRule="auto"/>
        <w:jc w:val="center"/>
        <w:rPr>
          <w:rFonts w:ascii="Times New Roman" w:hAnsi="Times New Roman" w:eastAsia="方正仿宋简体" w:cs="Times New Roman"/>
          <w:sz w:val="24"/>
          <w:szCs w:val="24"/>
        </w:rPr>
      </w:pPr>
      <w:r>
        <w:rPr>
          <w:rStyle w:val="34"/>
          <w:rFonts w:hint="eastAsia" w:ascii="微软雅黑" w:hAnsi="微软雅黑" w:eastAsia="微软雅黑" w:cs="微软雅黑"/>
          <w:b/>
          <w:bCs/>
          <w:color w:val="auto"/>
        </w:rPr>
        <w:t>表单目录</w:t>
      </w:r>
      <w:r>
        <w:rPr>
          <w:rFonts w:ascii="微软雅黑" w:hAnsi="微软雅黑" w:eastAsia="微软雅黑" w:cs="Times New Roman"/>
          <w:sz w:val="24"/>
          <w:szCs w:val="24"/>
        </w:rPr>
        <w:fldChar w:fldCharType="begin"/>
      </w:r>
      <w:r>
        <w:rPr>
          <w:rFonts w:ascii="微软雅黑" w:hAnsi="微软雅黑" w:eastAsia="微软雅黑" w:cs="Times New Roman"/>
          <w:sz w:val="24"/>
          <w:szCs w:val="24"/>
        </w:rPr>
        <w:instrText xml:space="preserve"> TOC \o "1-3" \h \z \u </w:instrText>
      </w:r>
      <w:r>
        <w:rPr>
          <w:rFonts w:ascii="微软雅黑" w:hAnsi="微软雅黑" w:eastAsia="微软雅黑" w:cs="Times New Roman"/>
          <w:sz w:val="24"/>
          <w:szCs w:val="24"/>
        </w:rPr>
        <w:fldChar w:fldCharType="separate"/>
      </w:r>
    </w:p>
    <w:p>
      <w:pPr>
        <w:pStyle w:val="11"/>
        <w:tabs>
          <w:tab w:val="right" w:leader="dot" w:pos="9014"/>
        </w:tabs>
      </w:pPr>
    </w:p>
    <w:p>
      <w:pPr>
        <w:pStyle w:val="11"/>
        <w:tabs>
          <w:tab w:val="right" w:leader="dot" w:pos="9014"/>
        </w:tabs>
        <w:rPr>
          <w:sz w:val="24"/>
          <w:szCs w:val="24"/>
        </w:rPr>
      </w:pPr>
      <w:r>
        <w:fldChar w:fldCharType="begin"/>
      </w:r>
      <w:r>
        <w:instrText xml:space="preserve"> HYPERLINK \l "_Toc16772" </w:instrText>
      </w:r>
      <w:r>
        <w:fldChar w:fldCharType="separate"/>
      </w:r>
      <w:r>
        <w:rPr>
          <w:rFonts w:hint="eastAsia" w:ascii="微软雅黑" w:hAnsi="微软雅黑" w:eastAsia="微软雅黑"/>
          <w:sz w:val="24"/>
          <w:szCs w:val="24"/>
        </w:rPr>
        <w:t>表1 本专业职业面向表</w:t>
      </w:r>
      <w:r>
        <w:rPr>
          <w:sz w:val="24"/>
          <w:szCs w:val="24"/>
        </w:rPr>
        <w:tab/>
      </w:r>
      <w:r>
        <w:rPr>
          <w:sz w:val="24"/>
          <w:szCs w:val="24"/>
        </w:rPr>
        <w:fldChar w:fldCharType="begin"/>
      </w:r>
      <w:r>
        <w:rPr>
          <w:sz w:val="24"/>
          <w:szCs w:val="24"/>
        </w:rPr>
        <w:instrText xml:space="preserve"> PAGEREF _Toc16772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"_Toc26677" </w:instrText>
      </w:r>
      <w:r>
        <w:fldChar w:fldCharType="separate"/>
      </w:r>
      <w:r>
        <w:rPr>
          <w:rFonts w:hint="eastAsia" w:ascii="微软雅黑" w:hAnsi="微软雅黑" w:eastAsia="微软雅黑"/>
          <w:sz w:val="24"/>
          <w:szCs w:val="24"/>
        </w:rPr>
        <w:t>表</w:t>
      </w:r>
      <w:r>
        <w:rPr>
          <w:rFonts w:ascii="微软雅黑" w:hAnsi="微软雅黑" w:eastAsia="微软雅黑"/>
          <w:sz w:val="24"/>
          <w:szCs w:val="24"/>
        </w:rPr>
        <w:t xml:space="preserve">2 </w:t>
      </w:r>
      <w:r>
        <w:rPr>
          <w:rFonts w:hint="eastAsia" w:ascii="微软雅黑" w:hAnsi="微软雅黑" w:eastAsia="微软雅黑"/>
          <w:sz w:val="24"/>
          <w:szCs w:val="24"/>
        </w:rPr>
        <w:t>行业、企业职业技能证书一览表</w:t>
      </w:r>
      <w:r>
        <w:rPr>
          <w:sz w:val="24"/>
          <w:szCs w:val="24"/>
        </w:rPr>
        <w:tab/>
      </w:r>
      <w:r>
        <w:rPr>
          <w:sz w:val="24"/>
          <w:szCs w:val="24"/>
        </w:rPr>
        <w:fldChar w:fldCharType="begin"/>
      </w:r>
      <w:r>
        <w:rPr>
          <w:sz w:val="24"/>
          <w:szCs w:val="24"/>
        </w:rPr>
        <w:instrText xml:space="preserve"> PAGEREF _Toc26677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"_Toc5771" </w:instrText>
      </w:r>
      <w:r>
        <w:fldChar w:fldCharType="separate"/>
      </w:r>
      <w:r>
        <w:rPr>
          <w:rFonts w:hint="eastAsia" w:ascii="微软雅黑" w:hAnsi="微软雅黑" w:eastAsia="微软雅黑"/>
          <w:sz w:val="24"/>
          <w:szCs w:val="24"/>
        </w:rPr>
        <w:t>表3 典型工作任务与相关课程一览表</w:t>
      </w:r>
      <w:r>
        <w:rPr>
          <w:sz w:val="24"/>
          <w:szCs w:val="24"/>
        </w:rPr>
        <w:tab/>
      </w:r>
      <w:r>
        <w:rPr>
          <w:sz w:val="24"/>
          <w:szCs w:val="24"/>
        </w:rPr>
        <w:fldChar w:fldCharType="begin"/>
      </w:r>
      <w:r>
        <w:rPr>
          <w:sz w:val="24"/>
          <w:szCs w:val="24"/>
        </w:rPr>
        <w:instrText xml:space="preserve"> PAGEREF _Toc5771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"_Toc6409" </w:instrText>
      </w:r>
      <w:r>
        <w:fldChar w:fldCharType="separate"/>
      </w:r>
      <w:r>
        <w:rPr>
          <w:rFonts w:hint="eastAsia" w:ascii="微软雅黑" w:hAnsi="微软雅黑" w:eastAsia="微软雅黑"/>
          <w:sz w:val="24"/>
          <w:szCs w:val="24"/>
        </w:rPr>
        <w:t>表4 公共基础必修课程设置及学时安排</w:t>
      </w:r>
      <w:r>
        <w:rPr>
          <w:sz w:val="24"/>
          <w:szCs w:val="24"/>
        </w:rPr>
        <w:tab/>
      </w:r>
      <w:r>
        <w:rPr>
          <w:sz w:val="24"/>
          <w:szCs w:val="24"/>
        </w:rPr>
        <w:fldChar w:fldCharType="begin"/>
      </w:r>
      <w:r>
        <w:rPr>
          <w:sz w:val="24"/>
          <w:szCs w:val="24"/>
        </w:rPr>
        <w:instrText xml:space="preserve"> PAGEREF _Toc6409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"_Toc17105" </w:instrText>
      </w:r>
      <w:r>
        <w:fldChar w:fldCharType="separate"/>
      </w:r>
      <w:r>
        <w:rPr>
          <w:rFonts w:hint="eastAsia" w:ascii="微软雅黑" w:hAnsi="微软雅黑" w:eastAsia="微软雅黑"/>
          <w:sz w:val="24"/>
          <w:szCs w:val="24"/>
        </w:rPr>
        <w:t>表5 专业基础课程设置及学时安排</w:t>
      </w:r>
      <w:r>
        <w:rPr>
          <w:sz w:val="24"/>
          <w:szCs w:val="24"/>
        </w:rPr>
        <w:tab/>
      </w:r>
      <w:r>
        <w:rPr>
          <w:sz w:val="24"/>
          <w:szCs w:val="24"/>
        </w:rPr>
        <w:fldChar w:fldCharType="begin"/>
      </w:r>
      <w:r>
        <w:rPr>
          <w:sz w:val="24"/>
          <w:szCs w:val="24"/>
        </w:rPr>
        <w:instrText xml:space="preserve"> PAGEREF _Toc17105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"_Toc1626" </w:instrText>
      </w:r>
      <w:r>
        <w:fldChar w:fldCharType="separate"/>
      </w:r>
      <w:r>
        <w:rPr>
          <w:rFonts w:hint="eastAsia" w:ascii="微软雅黑" w:hAnsi="微软雅黑" w:eastAsia="微软雅黑"/>
          <w:sz w:val="24"/>
          <w:szCs w:val="24"/>
        </w:rPr>
        <w:t>表6 专业核心课程设置及学时安排</w:t>
      </w:r>
      <w:r>
        <w:rPr>
          <w:sz w:val="24"/>
          <w:szCs w:val="24"/>
        </w:rPr>
        <w:tab/>
      </w:r>
      <w:r>
        <w:rPr>
          <w:sz w:val="24"/>
          <w:szCs w:val="24"/>
        </w:rPr>
        <w:fldChar w:fldCharType="begin"/>
      </w:r>
      <w:r>
        <w:rPr>
          <w:sz w:val="24"/>
          <w:szCs w:val="24"/>
        </w:rPr>
        <w:instrText xml:space="preserve"> PAGEREF _Toc1626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"_Toc15632" </w:instrText>
      </w:r>
      <w:r>
        <w:fldChar w:fldCharType="separate"/>
      </w:r>
      <w:r>
        <w:rPr>
          <w:rFonts w:hint="eastAsia" w:ascii="微软雅黑" w:hAnsi="微软雅黑" w:eastAsia="微软雅黑"/>
          <w:sz w:val="24"/>
          <w:szCs w:val="24"/>
        </w:rPr>
        <w:t>表7 实践实习课程设置及学时安排</w:t>
      </w:r>
      <w:r>
        <w:rPr>
          <w:sz w:val="24"/>
          <w:szCs w:val="24"/>
        </w:rPr>
        <w:tab/>
      </w:r>
      <w:r>
        <w:rPr>
          <w:sz w:val="24"/>
          <w:szCs w:val="24"/>
        </w:rPr>
        <w:fldChar w:fldCharType="begin"/>
      </w:r>
      <w:r>
        <w:rPr>
          <w:sz w:val="24"/>
          <w:szCs w:val="24"/>
        </w:rPr>
        <w:instrText xml:space="preserve"> PAGEREF _Toc15632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"_Toc2353" </w:instrText>
      </w:r>
      <w:r>
        <w:fldChar w:fldCharType="separate"/>
      </w:r>
      <w:r>
        <w:rPr>
          <w:rFonts w:hint="eastAsia" w:ascii="微软雅黑" w:hAnsi="微软雅黑" w:eastAsia="微软雅黑"/>
          <w:sz w:val="24"/>
          <w:szCs w:val="24"/>
        </w:rPr>
        <w:t>表8第二课堂活动安排表</w:t>
      </w:r>
      <w:r>
        <w:rPr>
          <w:sz w:val="24"/>
          <w:szCs w:val="24"/>
        </w:rPr>
        <w:tab/>
      </w:r>
      <w:r>
        <w:rPr>
          <w:sz w:val="24"/>
          <w:szCs w:val="24"/>
        </w:rPr>
        <w:fldChar w:fldCharType="begin"/>
      </w:r>
      <w:r>
        <w:rPr>
          <w:sz w:val="24"/>
          <w:szCs w:val="24"/>
        </w:rPr>
        <w:instrText xml:space="preserve"> PAGEREF _Toc2353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"_Toc16805" </w:instrText>
      </w:r>
      <w:r>
        <w:fldChar w:fldCharType="separate"/>
      </w:r>
      <w:r>
        <w:rPr>
          <w:rFonts w:hint="eastAsia" w:ascii="微软雅黑" w:hAnsi="微软雅黑" w:eastAsia="微软雅黑"/>
          <w:sz w:val="24"/>
          <w:szCs w:val="24"/>
        </w:rPr>
        <w:t>表9 教学周数分配表</w:t>
      </w:r>
      <w:r>
        <w:rPr>
          <w:sz w:val="24"/>
          <w:szCs w:val="24"/>
        </w:rPr>
        <w:tab/>
      </w:r>
      <w:r>
        <w:rPr>
          <w:sz w:val="24"/>
          <w:szCs w:val="24"/>
        </w:rPr>
        <w:fldChar w:fldCharType="begin"/>
      </w:r>
      <w:r>
        <w:rPr>
          <w:sz w:val="24"/>
          <w:szCs w:val="24"/>
        </w:rPr>
        <w:instrText xml:space="preserve"> PAGEREF _Toc16805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"_Toc3227" </w:instrText>
      </w:r>
      <w:r>
        <w:fldChar w:fldCharType="separate"/>
      </w:r>
      <w:r>
        <w:rPr>
          <w:rFonts w:hint="eastAsia" w:ascii="微软雅黑" w:hAnsi="微软雅黑" w:eastAsia="微软雅黑"/>
          <w:sz w:val="24"/>
          <w:szCs w:val="24"/>
        </w:rPr>
        <w:t>表10各类课程学时分配情况统计表</w:t>
      </w:r>
      <w:r>
        <w:rPr>
          <w:sz w:val="24"/>
          <w:szCs w:val="24"/>
        </w:rPr>
        <w:tab/>
      </w:r>
      <w:r>
        <w:rPr>
          <w:sz w:val="24"/>
          <w:szCs w:val="24"/>
        </w:rPr>
        <w:fldChar w:fldCharType="begin"/>
      </w:r>
      <w:r>
        <w:rPr>
          <w:sz w:val="24"/>
          <w:szCs w:val="24"/>
        </w:rPr>
        <w:instrText xml:space="preserve"> PAGEREF _Toc3227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"_Toc21738" </w:instrText>
      </w:r>
      <w:r>
        <w:fldChar w:fldCharType="separate"/>
      </w:r>
      <w:r>
        <w:rPr>
          <w:rFonts w:hint="eastAsia" w:ascii="微软雅黑" w:hAnsi="微软雅黑" w:eastAsia="微软雅黑"/>
          <w:sz w:val="24"/>
          <w:szCs w:val="24"/>
        </w:rPr>
        <w:t>表11校内实训条件配置与要求</w:t>
      </w:r>
      <w:r>
        <w:rPr>
          <w:sz w:val="24"/>
          <w:szCs w:val="24"/>
        </w:rPr>
        <w:tab/>
      </w:r>
      <w:r>
        <w:rPr>
          <w:sz w:val="24"/>
          <w:szCs w:val="24"/>
        </w:rPr>
        <w:fldChar w:fldCharType="begin"/>
      </w:r>
      <w:r>
        <w:rPr>
          <w:sz w:val="24"/>
          <w:szCs w:val="24"/>
        </w:rPr>
        <w:instrText xml:space="preserve"> PAGEREF _Toc21738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9014"/>
        </w:tabs>
      </w:pPr>
      <w:r>
        <w:fldChar w:fldCharType="begin"/>
      </w:r>
      <w:r>
        <w:instrText xml:space="preserve"> HYPERLINK \l "_Toc30076" </w:instrText>
      </w:r>
      <w:r>
        <w:fldChar w:fldCharType="separate"/>
      </w:r>
      <w:r>
        <w:rPr>
          <w:rFonts w:hint="eastAsia" w:ascii="微软雅黑" w:hAnsi="微软雅黑" w:eastAsia="微软雅黑"/>
          <w:sz w:val="24"/>
          <w:szCs w:val="24"/>
        </w:rPr>
        <w:t>表12人才培养方案变更审批表</w:t>
      </w:r>
      <w:r>
        <w:rPr>
          <w:sz w:val="24"/>
          <w:szCs w:val="24"/>
        </w:rPr>
        <w:tab/>
      </w:r>
      <w:r>
        <w:rPr>
          <w:sz w:val="24"/>
          <w:szCs w:val="24"/>
        </w:rPr>
        <w:fldChar w:fldCharType="begin"/>
      </w:r>
      <w:r>
        <w:rPr>
          <w:sz w:val="24"/>
          <w:szCs w:val="24"/>
        </w:rPr>
        <w:instrText xml:space="preserve"> PAGEREF _Toc30076 \h </w:instrText>
      </w:r>
      <w:r>
        <w:rPr>
          <w:sz w:val="24"/>
          <w:szCs w:val="24"/>
        </w:rPr>
        <w:fldChar w:fldCharType="separate"/>
      </w:r>
      <w:r>
        <w:rPr>
          <w:sz w:val="24"/>
          <w:szCs w:val="24"/>
        </w:rPr>
        <w:t>26</w:t>
      </w:r>
      <w:r>
        <w:rPr>
          <w:sz w:val="24"/>
          <w:szCs w:val="24"/>
        </w:rPr>
        <w:fldChar w:fldCharType="end"/>
      </w:r>
      <w:r>
        <w:rPr>
          <w:sz w:val="24"/>
          <w:szCs w:val="24"/>
        </w:rPr>
        <w:fldChar w:fldCharType="end"/>
      </w:r>
    </w:p>
    <w:p>
      <w:pPr>
        <w:widowControl/>
        <w:spacing w:line="480" w:lineRule="auto"/>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fldChar w:fldCharType="end"/>
      </w:r>
    </w:p>
    <w:p>
      <w:pPr>
        <w:widowControl/>
        <w:jc w:val="left"/>
        <w:rPr>
          <w:rFonts w:ascii="Times New Roman" w:hAnsi="Times New Roman" w:eastAsia="方正仿宋简体" w:cs="Times New Roman"/>
          <w:sz w:val="24"/>
          <w:szCs w:val="24"/>
        </w:rPr>
      </w:pPr>
    </w:p>
    <w:p>
      <w:pPr>
        <w:widowControl/>
        <w:jc w:val="left"/>
        <w:rPr>
          <w:rFonts w:ascii="Times New Roman" w:hAnsi="Times New Roman" w:eastAsia="方正仿宋简体" w:cs="Times New Roman"/>
          <w:sz w:val="24"/>
          <w:szCs w:val="24"/>
        </w:rPr>
        <w:sectPr>
          <w:footerReference r:id="rId3" w:type="default"/>
          <w:pgSz w:w="11906" w:h="16838"/>
          <w:pgMar w:top="1418" w:right="1418" w:bottom="1418" w:left="1474" w:header="851" w:footer="992" w:gutter="0"/>
          <w:cols w:space="425" w:num="1"/>
          <w:docGrid w:type="lines" w:linePitch="312" w:charSpace="0"/>
        </w:sectPr>
      </w:pP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highlight w:val="cyan"/>
        </w:rPr>
      </w:pPr>
      <w:bookmarkStart w:id="5" w:name="_Toc13242"/>
      <w:bookmarkStart w:id="6" w:name="_Toc10852"/>
      <w:bookmarkStart w:id="7" w:name="_Toc20556072"/>
      <w:bookmarkStart w:id="8" w:name="_Toc31048"/>
      <w:bookmarkStart w:id="9" w:name="_Toc16026"/>
      <w:bookmarkStart w:id="10" w:name="_Toc27233218"/>
      <w:r>
        <w:rPr>
          <w:rFonts w:hint="eastAsia" w:ascii="微软雅黑" w:hAnsi="微软雅黑" w:eastAsia="微软雅黑" w:cs="微软雅黑"/>
          <w:sz w:val="28"/>
          <w:szCs w:val="28"/>
        </w:rPr>
        <w:t>一、专业名称及代码</w:t>
      </w:r>
      <w:bookmarkEnd w:id="5"/>
      <w:bookmarkEnd w:id="6"/>
      <w:bookmarkEnd w:id="7"/>
      <w:bookmarkEnd w:id="8"/>
      <w:bookmarkEnd w:id="9"/>
      <w:bookmarkEnd w:id="10"/>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专业名称：飞机机电设备维修专业，专业代码：</w:t>
      </w:r>
      <w:r>
        <w:rPr>
          <w:rFonts w:ascii="微软雅黑" w:hAnsi="微软雅黑" w:eastAsia="微软雅黑" w:cs="微软雅黑"/>
          <w:bCs/>
          <w:sz w:val="24"/>
          <w:szCs w:val="24"/>
        </w:rPr>
        <w:t>500409</w:t>
      </w:r>
      <w:r>
        <w:rPr>
          <w:rFonts w:hint="eastAsia" w:ascii="微软雅黑" w:hAnsi="微软雅黑" w:eastAsia="微软雅黑" w:cs="微软雅黑"/>
          <w:bCs/>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1" w:name="_Toc27233219"/>
      <w:bookmarkStart w:id="12" w:name="_Toc20556073"/>
      <w:bookmarkStart w:id="13" w:name="_Toc24988"/>
      <w:bookmarkStart w:id="14" w:name="_Toc22185"/>
      <w:bookmarkStart w:id="15" w:name="_Toc32534"/>
      <w:bookmarkStart w:id="16" w:name="_Toc22237"/>
      <w:r>
        <w:rPr>
          <w:rFonts w:hint="eastAsia" w:ascii="微软雅黑" w:hAnsi="微软雅黑" w:eastAsia="微软雅黑" w:cs="微软雅黑"/>
          <w:sz w:val="28"/>
          <w:szCs w:val="28"/>
        </w:rPr>
        <w:t>二、入学要求</w:t>
      </w:r>
      <w:bookmarkEnd w:id="11"/>
      <w:bookmarkEnd w:id="12"/>
      <w:bookmarkEnd w:id="13"/>
      <w:bookmarkEnd w:id="14"/>
      <w:bookmarkEnd w:id="15"/>
      <w:bookmarkEnd w:id="16"/>
    </w:p>
    <w:p>
      <w:pPr>
        <w:ind w:firstLine="480" w:firstLineChars="200"/>
        <w:rPr>
          <w:rFonts w:ascii="微软雅黑" w:hAnsi="微软雅黑" w:eastAsia="微软雅黑" w:cs="微软雅黑"/>
          <w:kern w:val="44"/>
          <w:sz w:val="24"/>
          <w:szCs w:val="24"/>
        </w:rPr>
      </w:pPr>
      <w:r>
        <w:rPr>
          <w:rFonts w:hint="eastAsia" w:ascii="微软雅黑" w:hAnsi="微软雅黑" w:eastAsia="微软雅黑" w:cs="微软雅黑"/>
          <w:kern w:val="44"/>
          <w:sz w:val="24"/>
          <w:szCs w:val="24"/>
        </w:rPr>
        <w:t>普通高级中学毕业生、中等职业学校毕业生或具备同等学力。</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7" w:name="_Toc20556074"/>
      <w:bookmarkStart w:id="18" w:name="_Toc27233220"/>
      <w:bookmarkStart w:id="19" w:name="_Toc3165"/>
      <w:bookmarkStart w:id="20" w:name="_Toc23881"/>
      <w:bookmarkStart w:id="21" w:name="_Toc503"/>
      <w:bookmarkStart w:id="22" w:name="_Toc26096"/>
      <w:r>
        <w:rPr>
          <w:rFonts w:hint="eastAsia" w:ascii="微软雅黑" w:hAnsi="微软雅黑" w:eastAsia="微软雅黑" w:cs="微软雅黑"/>
          <w:sz w:val="28"/>
          <w:szCs w:val="28"/>
        </w:rPr>
        <w:t>三、基本修业年限</w:t>
      </w:r>
      <w:bookmarkEnd w:id="17"/>
      <w:bookmarkEnd w:id="18"/>
      <w:bookmarkEnd w:id="19"/>
      <w:bookmarkEnd w:id="20"/>
      <w:bookmarkEnd w:id="21"/>
      <w:bookmarkEnd w:id="22"/>
    </w:p>
    <w:p>
      <w:pPr>
        <w:ind w:firstLine="480" w:firstLineChars="200"/>
        <w:rPr>
          <w:rFonts w:ascii="微软雅黑" w:hAnsi="微软雅黑" w:eastAsia="微软雅黑" w:cs="微软雅黑"/>
          <w:kern w:val="44"/>
          <w:sz w:val="24"/>
          <w:szCs w:val="24"/>
        </w:rPr>
      </w:pPr>
      <w:bookmarkStart w:id="23" w:name="_Toc8791"/>
      <w:bookmarkStart w:id="24" w:name="_Toc30883"/>
      <w:bookmarkStart w:id="25" w:name="_Toc24754"/>
      <w:bookmarkStart w:id="26" w:name="_Toc13363"/>
      <w:bookmarkStart w:id="27" w:name="_Toc27233221"/>
      <w:bookmarkStart w:id="28" w:name="_Toc20556075"/>
      <w:r>
        <w:rPr>
          <w:rFonts w:hint="eastAsia" w:ascii="微软雅黑" w:hAnsi="微软雅黑" w:eastAsia="微软雅黑" w:cs="微软雅黑"/>
          <w:kern w:val="44"/>
          <w:sz w:val="24"/>
          <w:szCs w:val="24"/>
        </w:rPr>
        <w:t>三年</w:t>
      </w:r>
      <w:bookmarkEnd w:id="23"/>
      <w:bookmarkEnd w:id="24"/>
      <w:bookmarkEnd w:id="25"/>
      <w:bookmarkEnd w:id="26"/>
      <w:r>
        <w:rPr>
          <w:rFonts w:hint="eastAsia" w:ascii="微软雅黑" w:hAnsi="微软雅黑" w:eastAsia="微软雅黑" w:cs="微软雅黑"/>
          <w:kern w:val="44"/>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29" w:name="_Toc17806"/>
      <w:bookmarkStart w:id="30" w:name="_Toc19492"/>
      <w:bookmarkStart w:id="31" w:name="_Toc23791"/>
      <w:bookmarkStart w:id="32" w:name="_Toc13071"/>
      <w:r>
        <w:rPr>
          <w:rFonts w:hint="eastAsia" w:ascii="微软雅黑" w:hAnsi="微软雅黑" w:eastAsia="微软雅黑" w:cs="微软雅黑"/>
          <w:sz w:val="28"/>
          <w:szCs w:val="28"/>
        </w:rPr>
        <w:t>四、职业面向</w:t>
      </w:r>
      <w:bookmarkEnd w:id="27"/>
      <w:bookmarkEnd w:id="28"/>
      <w:bookmarkEnd w:id="29"/>
      <w:bookmarkEnd w:id="30"/>
      <w:bookmarkEnd w:id="31"/>
      <w:bookmarkEnd w:id="32"/>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本专业的职业面向表如表1所示。</w:t>
      </w:r>
    </w:p>
    <w:p>
      <w:pPr>
        <w:pStyle w:val="15"/>
        <w:adjustRightInd w:val="0"/>
        <w:snapToGrid w:val="0"/>
        <w:spacing w:before="0" w:after="0" w:line="500" w:lineRule="atLeast"/>
        <w:rPr>
          <w:rFonts w:ascii="微软雅黑" w:hAnsi="微软雅黑" w:eastAsia="微软雅黑"/>
          <w:b w:val="0"/>
          <w:color w:val="FF0000"/>
          <w:sz w:val="18"/>
          <w:szCs w:val="18"/>
        </w:rPr>
      </w:pPr>
      <w:bookmarkStart w:id="33" w:name="_Toc41473332"/>
      <w:bookmarkStart w:id="34" w:name="_Toc24499"/>
      <w:bookmarkStart w:id="35" w:name="_Toc29866"/>
      <w:bookmarkStart w:id="36" w:name="_Toc16772"/>
      <w:bookmarkStart w:id="37" w:name="_Hlk20316185"/>
      <w:bookmarkStart w:id="38" w:name="_Toc41473113"/>
      <w:bookmarkStart w:id="39" w:name="_Toc41473415"/>
      <w:bookmarkStart w:id="40" w:name="_Toc30781"/>
      <w:r>
        <w:rPr>
          <w:rFonts w:hint="eastAsia" w:ascii="微软雅黑" w:hAnsi="微软雅黑" w:eastAsia="微软雅黑"/>
          <w:color w:val="000099"/>
          <w:sz w:val="24"/>
          <w:szCs w:val="24"/>
        </w:rPr>
        <w:t>表1 本专业职业面向表</w:t>
      </w:r>
      <w:bookmarkEnd w:id="33"/>
      <w:bookmarkEnd w:id="34"/>
      <w:bookmarkEnd w:id="35"/>
      <w:bookmarkEnd w:id="36"/>
      <w:bookmarkEnd w:id="37"/>
      <w:bookmarkEnd w:id="38"/>
      <w:bookmarkEnd w:id="39"/>
      <w:bookmarkEnd w:id="40"/>
      <w:bookmarkStart w:id="41" w:name="_Toc41473333"/>
      <w:bookmarkStart w:id="42" w:name="_Toc41473114"/>
      <w:bookmarkStart w:id="43" w:name="_Toc41473416"/>
    </w:p>
    <w:tbl>
      <w:tblPr>
        <w:tblStyle w:val="16"/>
        <w:tblW w:w="9072" w:type="dxa"/>
        <w:tblInd w:w="-5" w:type="dxa"/>
        <w:tblLayout w:type="fixed"/>
        <w:tblCellMar>
          <w:top w:w="0" w:type="dxa"/>
          <w:left w:w="108" w:type="dxa"/>
          <w:bottom w:w="0" w:type="dxa"/>
          <w:right w:w="108" w:type="dxa"/>
        </w:tblCellMar>
      </w:tblPr>
      <w:tblGrid>
        <w:gridCol w:w="2410"/>
        <w:gridCol w:w="2977"/>
        <w:gridCol w:w="3685"/>
      </w:tblGrid>
      <w:tr>
        <w:tblPrEx>
          <w:tblCellMar>
            <w:top w:w="0" w:type="dxa"/>
            <w:left w:w="108" w:type="dxa"/>
            <w:bottom w:w="0" w:type="dxa"/>
            <w:right w:w="108" w:type="dxa"/>
          </w:tblCellMar>
        </w:tblPrEx>
        <w:trPr>
          <w:trHeight w:val="5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所属专业大类（代码）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交通运输大类（5</w:t>
            </w:r>
            <w:r>
              <w:rPr>
                <w:rFonts w:ascii="微软雅黑" w:hAnsi="微软雅黑" w:eastAsia="微软雅黑" w:cs="微软雅黑"/>
                <w:szCs w:val="21"/>
              </w:rPr>
              <w:t>0</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5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所属专业类（代码）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航空运输类（5</w:t>
            </w:r>
            <w:r>
              <w:rPr>
                <w:rFonts w:ascii="微软雅黑" w:hAnsi="微软雅黑" w:eastAsia="微软雅黑" w:cs="微软雅黑"/>
                <w:szCs w:val="21"/>
              </w:rPr>
              <w:t>004</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527"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对应行业（代码）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航空航天器修理（</w:t>
            </w:r>
            <w:r>
              <w:rPr>
                <w:rFonts w:ascii="微软雅黑" w:hAnsi="微软雅黑" w:eastAsia="微软雅黑" w:cs="微软雅黑"/>
                <w:szCs w:val="21"/>
              </w:rPr>
              <w:t>C4343</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451"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主要职业类别（代码）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民用航空器维修与适航工程技术人员（2-</w:t>
            </w:r>
            <w:r>
              <w:rPr>
                <w:rFonts w:ascii="微软雅黑" w:hAnsi="微软雅黑" w:eastAsia="微软雅黑" w:cs="微软雅黑"/>
                <w:szCs w:val="21"/>
              </w:rPr>
              <w:t>02</w:t>
            </w:r>
            <w:r>
              <w:rPr>
                <w:rFonts w:hint="eastAsia" w:ascii="微软雅黑" w:hAnsi="微软雅黑" w:eastAsia="微软雅黑" w:cs="微软雅黑"/>
                <w:szCs w:val="21"/>
              </w:rPr>
              <w:t>-</w:t>
            </w:r>
            <w:r>
              <w:rPr>
                <w:rFonts w:ascii="微软雅黑" w:hAnsi="微软雅黑" w:eastAsia="微软雅黑" w:cs="微软雅黑"/>
                <w:szCs w:val="21"/>
              </w:rPr>
              <w:t>16</w:t>
            </w:r>
            <w:r>
              <w:rPr>
                <w:rFonts w:hint="eastAsia" w:ascii="微软雅黑" w:hAnsi="微软雅黑" w:eastAsia="微软雅黑" w:cs="微软雅黑"/>
                <w:szCs w:val="21"/>
              </w:rPr>
              <w:t>-</w:t>
            </w:r>
            <w:r>
              <w:rPr>
                <w:rFonts w:ascii="微软雅黑" w:hAnsi="微软雅黑" w:eastAsia="微软雅黑" w:cs="微软雅黑"/>
                <w:szCs w:val="21"/>
              </w:rPr>
              <w:t>01</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3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岗位类型</w:t>
            </w:r>
          </w:p>
        </w:tc>
        <w:tc>
          <w:tcPr>
            <w:tcW w:w="2977"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主要岗位名称</w:t>
            </w:r>
          </w:p>
        </w:tc>
        <w:tc>
          <w:tcPr>
            <w:tcW w:w="3685"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建议获取的职业资格证书</w:t>
            </w:r>
          </w:p>
        </w:tc>
      </w:tr>
      <w:tr>
        <w:tblPrEx>
          <w:tblCellMar>
            <w:top w:w="0" w:type="dxa"/>
            <w:left w:w="108" w:type="dxa"/>
            <w:bottom w:w="0" w:type="dxa"/>
            <w:right w:w="108" w:type="dxa"/>
          </w:tblCellMar>
        </w:tblPrEx>
        <w:trPr>
          <w:trHeight w:val="90" w:hRule="atLeast"/>
        </w:trPr>
        <w:tc>
          <w:tcPr>
            <w:tcW w:w="2410" w:type="dxa"/>
            <w:vMerge w:val="restart"/>
            <w:tcBorders>
              <w:top w:val="single" w:color="000000" w:sz="4" w:space="0"/>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center"/>
              <w:rPr>
                <w:rFonts w:ascii="微软雅黑" w:hAnsi="微软雅黑" w:eastAsia="微软雅黑" w:cs="微软雅黑"/>
                <w:b/>
                <w:bCs/>
                <w:szCs w:val="21"/>
              </w:rPr>
            </w:pPr>
            <w:r>
              <w:rPr>
                <w:rFonts w:hint="eastAsia" w:ascii="微软雅黑" w:hAnsi="微软雅黑" w:eastAsia="微软雅黑" w:cs="微软雅黑"/>
                <w:b/>
                <w:bCs/>
                <w:kern w:val="0"/>
                <w:szCs w:val="21"/>
              </w:rPr>
              <w:t>初始岗位</w:t>
            </w: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航线维修机械员</w:t>
            </w:r>
          </w:p>
        </w:tc>
        <w:tc>
          <w:tcPr>
            <w:tcW w:w="3685"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民用航空器维修人员执照</w:t>
            </w:r>
          </w:p>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民用航空无损检测人员限定1级认证</w:t>
            </w:r>
          </w:p>
        </w:tc>
      </w:tr>
      <w:tr>
        <w:tblPrEx>
          <w:tblCellMar>
            <w:top w:w="0" w:type="dxa"/>
            <w:left w:w="108" w:type="dxa"/>
            <w:bottom w:w="0" w:type="dxa"/>
            <w:right w:w="108" w:type="dxa"/>
          </w:tblCellMar>
        </w:tblPrEx>
        <w:trPr>
          <w:trHeight w:val="90" w:hRule="atLeast"/>
        </w:trPr>
        <w:tc>
          <w:tcPr>
            <w:tcW w:w="2410" w:type="dxa"/>
            <w:vMerge w:val="continue"/>
            <w:tcBorders>
              <w:left w:val="single" w:color="000000" w:sz="4" w:space="0"/>
              <w:right w:val="single" w:color="000000" w:sz="4" w:space="0"/>
            </w:tcBorders>
            <w:shd w:val="clear" w:color="auto" w:fill="C5E2FF"/>
            <w:vAlign w:val="center"/>
          </w:tcPr>
          <w:p>
            <w:pPr>
              <w:widowControl/>
              <w:adjustRightInd w:val="0"/>
              <w:snapToGrid w:val="0"/>
              <w:spacing w:line="240" w:lineRule="atLeast"/>
              <w:jc w:val="center"/>
              <w:rPr>
                <w:rFonts w:ascii="微软雅黑" w:hAnsi="微软雅黑" w:eastAsia="微软雅黑" w:cs="微软雅黑"/>
                <w:b/>
                <w:bCs/>
                <w:szCs w:val="21"/>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定检维修机械员</w:t>
            </w:r>
          </w:p>
        </w:tc>
        <w:tc>
          <w:tcPr>
            <w:tcW w:w="3685" w:type="dxa"/>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p>
        </w:tc>
      </w:tr>
      <w:tr>
        <w:tblPrEx>
          <w:tblCellMar>
            <w:top w:w="0" w:type="dxa"/>
            <w:left w:w="108" w:type="dxa"/>
            <w:bottom w:w="0" w:type="dxa"/>
            <w:right w:w="108" w:type="dxa"/>
          </w:tblCellMar>
        </w:tblPrEx>
        <w:trPr>
          <w:trHeight w:val="315" w:hRule="atLeast"/>
        </w:trPr>
        <w:tc>
          <w:tcPr>
            <w:tcW w:w="2410" w:type="dxa"/>
            <w:vMerge w:val="restart"/>
            <w:tcBorders>
              <w:top w:val="single" w:color="000000" w:sz="4" w:space="0"/>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升迁岗位</w:t>
            </w: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航线维修技术员</w:t>
            </w:r>
          </w:p>
        </w:tc>
        <w:tc>
          <w:tcPr>
            <w:tcW w:w="3685" w:type="dxa"/>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spacing w:line="400" w:lineRule="atLeast"/>
              <w:jc w:val="center"/>
              <w:textAlignment w:val="center"/>
              <w:rPr>
                <w:rFonts w:ascii="宋体" w:hAnsi="宋体" w:eastAsia="宋体" w:cs="宋体"/>
                <w:kern w:val="0"/>
                <w:szCs w:val="21"/>
              </w:rPr>
            </w:pPr>
            <w:r>
              <w:rPr>
                <w:rFonts w:hint="eastAsia" w:ascii="宋体" w:hAnsi="宋体" w:eastAsia="宋体" w:cs="宋体"/>
                <w:kern w:val="0"/>
                <w:szCs w:val="21"/>
              </w:rPr>
              <w:t>民用航空器机型培训证书</w:t>
            </w:r>
          </w:p>
          <w:p>
            <w:pPr>
              <w:adjustRightInd w:val="0"/>
              <w:snapToGrid w:val="0"/>
              <w:spacing w:line="400" w:lineRule="atLeast"/>
              <w:jc w:val="center"/>
              <w:textAlignment w:val="center"/>
              <w:rPr>
                <w:rFonts w:ascii="宋体" w:hAnsi="宋体" w:eastAsia="宋体" w:cs="宋体"/>
                <w:kern w:val="0"/>
                <w:szCs w:val="21"/>
              </w:rPr>
            </w:pPr>
            <w:r>
              <w:rPr>
                <w:rFonts w:hint="eastAsia" w:ascii="宋体" w:hAnsi="宋体" w:eastAsia="宋体" w:cs="宋体"/>
                <w:szCs w:val="21"/>
              </w:rPr>
              <w:t>民用航空无损检测人员2级认证</w:t>
            </w:r>
          </w:p>
        </w:tc>
      </w:tr>
      <w:tr>
        <w:tblPrEx>
          <w:tblCellMar>
            <w:top w:w="0" w:type="dxa"/>
            <w:left w:w="108" w:type="dxa"/>
            <w:bottom w:w="0" w:type="dxa"/>
            <w:right w:w="108" w:type="dxa"/>
          </w:tblCellMar>
        </w:tblPrEx>
        <w:trPr>
          <w:trHeight w:val="315" w:hRule="atLeast"/>
        </w:trPr>
        <w:tc>
          <w:tcPr>
            <w:tcW w:w="2410" w:type="dxa"/>
            <w:vMerge w:val="continue"/>
            <w:tcBorders>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kern w:val="0"/>
                <w:szCs w:val="21"/>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定检维修技术员</w:t>
            </w:r>
          </w:p>
        </w:tc>
        <w:tc>
          <w:tcPr>
            <w:tcW w:w="3685" w:type="dxa"/>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kern w:val="0"/>
                <w:szCs w:val="21"/>
              </w:rPr>
            </w:pPr>
          </w:p>
        </w:tc>
      </w:tr>
      <w:tr>
        <w:tblPrEx>
          <w:tblCellMar>
            <w:top w:w="0" w:type="dxa"/>
            <w:left w:w="108" w:type="dxa"/>
            <w:bottom w:w="0" w:type="dxa"/>
            <w:right w:w="108" w:type="dxa"/>
          </w:tblCellMar>
        </w:tblPrEx>
        <w:trPr>
          <w:trHeight w:val="630" w:hRule="atLeast"/>
        </w:trPr>
        <w:tc>
          <w:tcPr>
            <w:tcW w:w="24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社会认可度高的行业企业标准举例</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tLeast"/>
              <w:jc w:val="center"/>
              <w:textAlignment w:val="center"/>
              <w:rPr>
                <w:rFonts w:ascii="宋体" w:hAnsi="宋体" w:eastAsia="宋体" w:cs="宋体"/>
                <w:kern w:val="0"/>
                <w:szCs w:val="21"/>
              </w:rPr>
            </w:pPr>
            <w:r>
              <w:rPr>
                <w:rFonts w:hint="eastAsia" w:ascii="宋体" w:hAnsi="宋体" w:eastAsia="宋体" w:cs="宋体"/>
                <w:kern w:val="0"/>
                <w:szCs w:val="21"/>
              </w:rPr>
              <w:t>MH/T 3001-2012航空器无损检测人员资格鉴定与认证</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3005-2002</w:t>
            </w:r>
            <w:r>
              <w:rPr>
                <w:rFonts w:hint="eastAsia" w:ascii="宋体" w:hAnsi="宋体" w:eastAsia="宋体" w:cs="宋体"/>
                <w:kern w:val="0"/>
                <w:szCs w:val="21"/>
              </w:rPr>
              <w:t>航空管路识别</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3010-2006</w:t>
            </w:r>
            <w:r>
              <w:rPr>
                <w:rFonts w:hint="eastAsia" w:ascii="宋体" w:hAnsi="宋体" w:eastAsia="宋体" w:cs="宋体"/>
                <w:kern w:val="0"/>
                <w:szCs w:val="21"/>
              </w:rPr>
              <w:t>民用航空器维修管理规范</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3011-2006</w:t>
            </w:r>
            <w:r>
              <w:rPr>
                <w:rFonts w:hint="eastAsia" w:ascii="宋体" w:hAnsi="宋体" w:eastAsia="宋体" w:cs="宋体"/>
                <w:kern w:val="0"/>
                <w:szCs w:val="21"/>
              </w:rPr>
              <w:t>民用航空器维修地面安全</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3012-2008</w:t>
            </w:r>
            <w:r>
              <w:rPr>
                <w:rFonts w:hint="eastAsia" w:ascii="宋体" w:hAnsi="宋体" w:eastAsia="宋体" w:cs="宋体"/>
                <w:kern w:val="0"/>
                <w:szCs w:val="21"/>
              </w:rPr>
              <w:t>民用航空器维修地面维修设施</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3013-2008</w:t>
            </w:r>
            <w:r>
              <w:rPr>
                <w:rFonts w:hint="eastAsia" w:ascii="宋体" w:hAnsi="宋体" w:eastAsia="宋体" w:cs="宋体"/>
                <w:kern w:val="0"/>
                <w:szCs w:val="21"/>
              </w:rPr>
              <w:t>民用航空器维修职业安全健康</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3014-2007</w:t>
            </w:r>
            <w:r>
              <w:rPr>
                <w:rFonts w:hint="eastAsia" w:ascii="宋体" w:hAnsi="宋体" w:eastAsia="宋体" w:cs="宋体"/>
                <w:kern w:val="0"/>
                <w:szCs w:val="21"/>
              </w:rPr>
              <w:t>民用航空器维修航空器材</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3029-2013</w:t>
            </w:r>
            <w:r>
              <w:rPr>
                <w:rFonts w:hint="eastAsia" w:ascii="宋体" w:hAnsi="宋体" w:eastAsia="宋体" w:cs="宋体"/>
                <w:kern w:val="0"/>
                <w:szCs w:val="21"/>
              </w:rPr>
              <w:t>民用航空器维修基本技能实习用耗材</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MT/T 0014-1996</w:t>
            </w:r>
            <w:r>
              <w:rPr>
                <w:rFonts w:hint="eastAsia" w:ascii="宋体" w:hAnsi="宋体" w:eastAsia="宋体" w:cs="宋体"/>
                <w:kern w:val="0"/>
                <w:szCs w:val="21"/>
              </w:rPr>
              <w:t>民用航空器维修与适航专业中高级技术资格评审条件</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 3145.81-2001</w:t>
            </w:r>
            <w:r>
              <w:rPr>
                <w:rFonts w:hint="eastAsia" w:ascii="宋体" w:hAnsi="宋体" w:eastAsia="宋体" w:cs="宋体"/>
                <w:kern w:val="0"/>
                <w:szCs w:val="21"/>
              </w:rPr>
              <w:t>民用航空器维修机械加工车间</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AC-147-FS-002R1</w:t>
            </w:r>
            <w:r>
              <w:rPr>
                <w:rFonts w:hint="eastAsia" w:ascii="宋体" w:hAnsi="宋体" w:eastAsia="宋体" w:cs="宋体"/>
                <w:kern w:val="0"/>
                <w:szCs w:val="21"/>
              </w:rPr>
              <w:t>航空器维修人员执照培训实施规范</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AC-145-FS-013 R2</w:t>
            </w:r>
            <w:r>
              <w:rPr>
                <w:rFonts w:hint="eastAsia" w:ascii="宋体" w:hAnsi="宋体" w:eastAsia="宋体" w:cs="宋体"/>
                <w:kern w:val="0"/>
                <w:szCs w:val="21"/>
              </w:rPr>
              <w:t>维修单位培训大纲的制定</w:t>
            </w:r>
          </w:p>
        </w:tc>
      </w:tr>
    </w:tbl>
    <w:p>
      <w:pPr>
        <w:ind w:firstLine="360" w:firstLineChars="200"/>
        <w:rPr>
          <w:rFonts w:ascii="微软雅黑" w:hAnsi="微软雅黑" w:eastAsia="微软雅黑" w:cs="微软雅黑"/>
          <w:color w:val="C00000"/>
          <w:sz w:val="18"/>
          <w:szCs w:val="18"/>
        </w:rPr>
      </w:pPr>
      <w:r>
        <w:rPr>
          <w:rFonts w:hint="eastAsia" w:ascii="微软雅黑" w:hAnsi="微软雅黑" w:eastAsia="微软雅黑" w:cs="微软雅黑"/>
          <w:color w:val="C00000"/>
          <w:sz w:val="18"/>
          <w:szCs w:val="18"/>
        </w:rPr>
        <w:t>说明：对应行业参照现行的《国民经济行业分类》，主要职业类别参照现行的《国家职业分类大典》。</w:t>
      </w:r>
    </w:p>
    <w:p>
      <w:pPr>
        <w:rPr>
          <w:rFonts w:ascii="微软雅黑" w:hAnsi="微软雅黑" w:eastAsia="微软雅黑" w:cs="微软雅黑"/>
          <w:color w:val="C00000"/>
          <w:sz w:val="18"/>
          <w:szCs w:val="18"/>
        </w:rPr>
      </w:pPr>
      <w:bookmarkStart w:id="44" w:name="_Toc31635"/>
      <w:bookmarkStart w:id="45" w:name="_Toc11722"/>
    </w:p>
    <w:p>
      <w:pPr>
        <w:pStyle w:val="15"/>
        <w:adjustRightInd w:val="0"/>
        <w:snapToGrid w:val="0"/>
        <w:spacing w:before="0" w:after="0" w:line="500" w:lineRule="atLeast"/>
        <w:rPr>
          <w:rFonts w:ascii="微软雅黑" w:hAnsi="微软雅黑" w:eastAsia="微软雅黑"/>
          <w:sz w:val="24"/>
          <w:szCs w:val="24"/>
        </w:rPr>
      </w:pPr>
      <w:bookmarkStart w:id="46" w:name="_Toc26677"/>
      <w:bookmarkStart w:id="47" w:name="_Toc7839"/>
      <w:r>
        <w:rPr>
          <w:rFonts w:hint="eastAsia" w:ascii="微软雅黑" w:hAnsi="微软雅黑" w:eastAsia="微软雅黑"/>
          <w:sz w:val="24"/>
          <w:szCs w:val="24"/>
        </w:rPr>
        <w:t>表</w:t>
      </w:r>
      <w:r>
        <w:rPr>
          <w:rFonts w:ascii="微软雅黑" w:hAnsi="微软雅黑" w:eastAsia="微软雅黑"/>
          <w:sz w:val="24"/>
          <w:szCs w:val="24"/>
        </w:rPr>
        <w:t xml:space="preserve">2 </w:t>
      </w:r>
      <w:r>
        <w:rPr>
          <w:rFonts w:hint="eastAsia" w:ascii="微软雅黑" w:hAnsi="微软雅黑" w:eastAsia="微软雅黑"/>
          <w:sz w:val="24"/>
          <w:szCs w:val="24"/>
        </w:rPr>
        <w:t>行业、企业职业技能证书一览表</w:t>
      </w:r>
      <w:bookmarkEnd w:id="41"/>
      <w:bookmarkEnd w:id="42"/>
      <w:bookmarkEnd w:id="43"/>
      <w:bookmarkEnd w:id="44"/>
      <w:bookmarkEnd w:id="45"/>
      <w:bookmarkEnd w:id="46"/>
      <w:bookmarkEnd w:id="47"/>
    </w:p>
    <w:tbl>
      <w:tblPr>
        <w:tblStyle w:val="1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110"/>
        <w:gridCol w:w="1276"/>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序号</w:t>
            </w:r>
          </w:p>
        </w:tc>
        <w:tc>
          <w:tcPr>
            <w:tcW w:w="4110"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证书名称</w:t>
            </w:r>
          </w:p>
        </w:tc>
        <w:tc>
          <w:tcPr>
            <w:tcW w:w="1276"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考核等级</w:t>
            </w:r>
          </w:p>
        </w:tc>
        <w:tc>
          <w:tcPr>
            <w:tcW w:w="3260"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发证机构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4110"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民用航空器航线维修职业技能等级证书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江苏无国界航空发展有限公司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2</w:t>
            </w:r>
          </w:p>
        </w:tc>
        <w:tc>
          <w:tcPr>
            <w:tcW w:w="4110"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航空器灭火救援与救护职业技能等级证书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首都机场集团科技管理有限公司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3</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机械员基本技能证书</w:t>
            </w:r>
          </w:p>
        </w:tc>
        <w:tc>
          <w:tcPr>
            <w:tcW w:w="1276"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中级</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4</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技术员基本技能证书</w:t>
            </w:r>
          </w:p>
        </w:tc>
        <w:tc>
          <w:tcPr>
            <w:tcW w:w="1276"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高级</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5</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飞机铆接装配职业技能等级证书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中国航空工业集团有限公司</w:t>
            </w:r>
          </w:p>
        </w:tc>
      </w:tr>
    </w:tbl>
    <w:p>
      <w:pPr>
        <w:overflowPunct w:val="0"/>
        <w:adjustRightInd w:val="0"/>
        <w:snapToGrid w:val="0"/>
        <w:spacing w:line="500" w:lineRule="exact"/>
        <w:rPr>
          <w:rFonts w:ascii="微软雅黑" w:hAnsi="微软雅黑" w:eastAsia="微软雅黑" w:cs="微软雅黑"/>
          <w:bCs/>
          <w:szCs w:val="21"/>
        </w:rPr>
      </w:pPr>
      <w:r>
        <w:rPr>
          <w:rFonts w:hint="eastAsia" w:ascii="微软雅黑" w:hAnsi="微软雅黑" w:eastAsia="微软雅黑" w:cs="微软雅黑"/>
          <w:bCs/>
          <w:szCs w:val="21"/>
        </w:rPr>
        <w:t>注：用“*”标注毕业前必须获得的职业技能证书。</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bookmarkStart w:id="48" w:name="_Toc20556078"/>
      <w:bookmarkStart w:id="49" w:name="_Toc5156"/>
      <w:bookmarkStart w:id="50" w:name="_Toc27233224"/>
      <w:bookmarkStart w:id="51" w:name="_Toc12514"/>
      <w:bookmarkStart w:id="52" w:name="_Toc5898"/>
      <w:bookmarkStart w:id="53" w:name="_Toc4690"/>
      <w:bookmarkStart w:id="54" w:name="_Hlk41469998"/>
      <w:r>
        <w:rPr>
          <w:rFonts w:hint="eastAsia" w:ascii="微软雅黑" w:hAnsi="微软雅黑" w:eastAsia="微软雅黑" w:cs="微软雅黑"/>
          <w:sz w:val="28"/>
          <w:szCs w:val="28"/>
        </w:rPr>
        <w:t>五、培养目标与培养规格</w:t>
      </w:r>
      <w:bookmarkEnd w:id="48"/>
      <w:bookmarkEnd w:id="49"/>
      <w:bookmarkEnd w:id="50"/>
      <w:bookmarkEnd w:id="51"/>
      <w:bookmarkEnd w:id="52"/>
      <w:bookmarkEnd w:id="53"/>
    </w:p>
    <w:bookmarkEnd w:id="54"/>
    <w:p>
      <w:pPr>
        <w:adjustRightInd w:val="0"/>
        <w:snapToGrid w:val="0"/>
        <w:spacing w:line="500" w:lineRule="exact"/>
        <w:ind w:firstLine="480" w:firstLineChars="200"/>
        <w:rPr>
          <w:rFonts w:ascii="微软雅黑" w:hAnsi="微软雅黑" w:eastAsia="微软雅黑" w:cs="微软雅黑"/>
          <w:bCs/>
          <w:sz w:val="24"/>
          <w:szCs w:val="24"/>
        </w:rPr>
      </w:pPr>
      <w:bookmarkStart w:id="55" w:name="_Hlk20230089"/>
      <w:bookmarkStart w:id="56" w:name="_Toc22396"/>
      <w:bookmarkStart w:id="57" w:name="_Toc5077"/>
      <w:bookmarkStart w:id="58" w:name="_Toc18380"/>
      <w:bookmarkStart w:id="59" w:name="_Toc11718"/>
      <w:bookmarkStart w:id="60" w:name="_Toc27233225"/>
      <w:bookmarkStart w:id="61" w:name="_Toc20556079"/>
      <w:r>
        <w:rPr>
          <w:rFonts w:hint="eastAsia" w:ascii="微软雅黑" w:hAnsi="微软雅黑" w:eastAsia="微软雅黑" w:cs="微软雅黑"/>
          <w:bCs/>
          <w:sz w:val="24"/>
          <w:szCs w:val="24"/>
        </w:rPr>
        <w:t>为服务海南自由贸易港航空飞行器、航空发动机、航空机载产品的研发、制造与维修保养等运营服务及其配套产业，主动建设飞机维修高水平专业群，专业布局与区域产业相适应，提升学校对经济社会发展的贡献度，为海南自由贸易港建设提供强有力支撑。本专业坚持科学定位、培育特色、差异发展的原则，创新人才培养模式，将专业人才的培养分为技术型、技能型和创新型，加强高素质技术技能人才培养，满足产业对技术技能人才和应用技术服务的需求。</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（一）</w:t>
      </w:r>
      <w:bookmarkEnd w:id="55"/>
      <w:r>
        <w:rPr>
          <w:rFonts w:hint="eastAsia" w:ascii="微软雅黑" w:hAnsi="微软雅黑" w:eastAsia="微软雅黑" w:cs="微软雅黑"/>
          <w:sz w:val="24"/>
          <w:szCs w:val="24"/>
        </w:rPr>
        <w:t>培养目标</w:t>
      </w:r>
      <w:bookmarkEnd w:id="56"/>
      <w:bookmarkEnd w:id="57"/>
      <w:bookmarkEnd w:id="58"/>
      <w:bookmarkEnd w:id="59"/>
      <w:bookmarkEnd w:id="60"/>
      <w:bookmarkEnd w:id="61"/>
    </w:p>
    <w:p>
      <w:pPr>
        <w:adjustRightInd w:val="0"/>
        <w:snapToGrid w:val="0"/>
        <w:spacing w:line="500" w:lineRule="atLeast"/>
        <w:ind w:firstLine="480" w:firstLineChars="200"/>
        <w:rPr>
          <w:rFonts w:ascii="微软雅黑" w:hAnsi="微软雅黑" w:eastAsia="微软雅黑" w:cs="微软雅黑"/>
          <w:bCs/>
          <w:color w:val="0B5FD1"/>
          <w:sz w:val="24"/>
          <w:szCs w:val="24"/>
        </w:rPr>
      </w:pPr>
      <w:r>
        <w:rPr>
          <w:rFonts w:hint="eastAsia" w:ascii="微软雅黑" w:hAnsi="微软雅黑" w:eastAsia="微软雅黑" w:cs="微软雅黑"/>
          <w:bCs/>
          <w:sz w:val="24"/>
          <w:szCs w:val="24"/>
        </w:rPr>
        <w:t>本专业立足民航，服务社会，培养适应国家新时代民航强国战略需求，满足海南自由贸易港一站式航空维修产业发展的要求，理想信念坚定，德、智、体、美、劳全面发展的社会主义事业建设者和接班人。具有扎实的自然科学基础、较高的人文素养与职业道德、良好的国际通用语言交流能力、优秀的心理素质、广泛的行业见识与国际视野、较强的专业迁移能力与就业能力、创新能力和可持续发展能力；掌握航空器维修专业知识与技术技能、岗位工作职责与工作程序，熟知民航法规，了解航空维修新技术、新方法；努力践行新时代工匠精神、当代民航精神和现代科学精神，面向航空维修工程岗位群，能够从事飞机计划维修、非计划维修、重要修理和重要改装领域等工作，符合民用航空器维修与适航工程技术人员标准的创新型技术技能人才。</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62" w:name="_Toc31405"/>
      <w:bookmarkStart w:id="63" w:name="_Toc31853"/>
      <w:bookmarkStart w:id="64" w:name="_Toc7638"/>
      <w:bookmarkStart w:id="65" w:name="_Toc27233226"/>
      <w:bookmarkStart w:id="66" w:name="_Toc20556080"/>
      <w:bookmarkStart w:id="67" w:name="_Toc24970"/>
      <w:r>
        <w:rPr>
          <w:rFonts w:hint="eastAsia" w:ascii="微软雅黑" w:hAnsi="微软雅黑" w:eastAsia="微软雅黑" w:cs="微软雅黑"/>
          <w:sz w:val="24"/>
          <w:szCs w:val="24"/>
        </w:rPr>
        <w:t>（二）培养规格</w:t>
      </w:r>
      <w:bookmarkEnd w:id="62"/>
      <w:bookmarkEnd w:id="63"/>
      <w:bookmarkEnd w:id="64"/>
      <w:bookmarkEnd w:id="65"/>
      <w:bookmarkEnd w:id="66"/>
      <w:bookmarkEnd w:id="67"/>
    </w:p>
    <w:p>
      <w:pPr>
        <w:adjustRightInd w:val="0"/>
        <w:snapToGrid w:val="0"/>
        <w:spacing w:line="500" w:lineRule="exact"/>
        <w:ind w:firstLine="480" w:firstLineChars="200"/>
        <w:rPr>
          <w:rFonts w:ascii="微软雅黑" w:hAnsi="微软雅黑" w:eastAsia="微软雅黑" w:cs="微软雅黑"/>
          <w:bCs/>
          <w:sz w:val="24"/>
          <w:szCs w:val="24"/>
          <w:highlight w:val="cyan"/>
        </w:rPr>
      </w:pPr>
      <w:r>
        <w:rPr>
          <w:rFonts w:hint="eastAsia" w:ascii="微软雅黑" w:hAnsi="微软雅黑" w:eastAsia="微软雅黑" w:cs="微软雅黑"/>
          <w:bCs/>
          <w:sz w:val="24"/>
          <w:szCs w:val="24"/>
        </w:rPr>
        <w:t>飞机机电设备维修专业是海南省高水平专业群的核心专业，引领飞机机电设备维修专业群全面对接海南自由贸易港面向全球的一站式飞机维修基地人才需求。坚持立德树人为根本宗旨，以能力培养为中心，培养持有《民用航空器维修人员执照》，能够胜任飞机维修工程技术或管理类岗位的航空器维修人才，具体规格描述如下：</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1.知识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掌握必备的思想政治理论、科学文化基础知识和中华优秀传统文化知识；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掌握机械制图、航空机械、电工、电子技术等基本知识；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掌握航空材料、腐蚀与防护等维护技术基本知识；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掌握航空器的概念与分类、飞机的分类、动力装置的分类；</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了解航空仪表和机载设备；</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掌握空气动力学及飞机飞行原理；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掌握典型飞机的结构；</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掌握涡轮发动机飞机机体的结构、系统组成与工作原理；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掌握燃气涡轮发动机的结构、工作原理与系统组成；</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熟悉民用航空器适航与维修管理的基本知识；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掌握航空安全人为因素；</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熟悉与本专业相关的法律法规以及环境保护、安全消防等知识；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了解国内外民航行业发展新动态、新技术和新趋势。</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2.能力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具有一定的信息技术应用能力；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具有较好的专业英语能力，能够进行口语和书面的表达与交流；</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能够识读飞机机械图纸、电路图和电子线路图；</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具有良好的安全意识、规范意识和安全防护能力；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能够使用飞机维修手册、工卡和工具设备；</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具备紧固件保险、涂胶密封、润滑、操纵系统校装、管路施工、飞机结构修理、标准线路施工、电路设计与制作等航空器维修基本技能；</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能够完成飞机监护、交接、接送等一般勤务工作；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能够完成联络或警戒工作；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能够对航空器航线例行检查和系统勤务工作；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能够协助其他资格人员完成相关的工作；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能够完成航空器非例行工作；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能够进行工作单退单申请或审核；</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能够依据维护操作规范对飞机系统和动力装置进行操作、检查、测试和故障分析；</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14</w:t>
      </w:r>
      <w:r>
        <w:rPr>
          <w:rFonts w:hint="eastAsia" w:ascii="微软雅黑" w:hAnsi="微软雅黑" w:eastAsia="微软雅黑" w:cs="微软雅黑"/>
          <w:bCs/>
          <w:sz w:val="24"/>
          <w:szCs w:val="24"/>
        </w:rPr>
        <w:t>能够熟练使用工具和设备对航线可更换件进行拆装；</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15</w:t>
      </w:r>
      <w:r>
        <w:rPr>
          <w:rFonts w:hint="eastAsia" w:ascii="微软雅黑" w:hAnsi="微软雅黑" w:eastAsia="微软雅黑" w:cs="微软雅黑"/>
          <w:bCs/>
          <w:sz w:val="24"/>
          <w:szCs w:val="24"/>
        </w:rPr>
        <w:t>能够检验、修理、更换民用航空器结构件；</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16</w:t>
      </w:r>
      <w:r>
        <w:rPr>
          <w:rFonts w:hint="eastAsia" w:ascii="微软雅黑" w:hAnsi="微软雅黑" w:eastAsia="微软雅黑" w:cs="微软雅黑"/>
          <w:bCs/>
          <w:sz w:val="24"/>
          <w:szCs w:val="24"/>
        </w:rPr>
        <w:t>能够进行飞机外形缺陷的处理；</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17</w:t>
      </w:r>
      <w:r>
        <w:rPr>
          <w:rFonts w:hint="eastAsia" w:ascii="微软雅黑" w:hAnsi="微软雅黑" w:eastAsia="微软雅黑" w:cs="微软雅黑"/>
          <w:bCs/>
          <w:sz w:val="24"/>
          <w:szCs w:val="24"/>
        </w:rPr>
        <w:t>能够完成观察件办理可用件入库手续；</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能够快速有效支援一线生产，进行AOG支援；</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19</w:t>
      </w:r>
      <w:r>
        <w:rPr>
          <w:rFonts w:hint="eastAsia" w:ascii="微软雅黑" w:hAnsi="微软雅黑" w:eastAsia="微软雅黑" w:cs="微软雅黑"/>
          <w:bCs/>
          <w:sz w:val="24"/>
          <w:szCs w:val="24"/>
        </w:rPr>
        <w:t>能够依据维修管理手册进行工具设备管理与维修全过程质量控制；</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20</w:t>
      </w:r>
      <w:r>
        <w:rPr>
          <w:rFonts w:hint="eastAsia" w:ascii="微软雅黑" w:hAnsi="微软雅黑" w:eastAsia="微软雅黑" w:cs="微软雅黑"/>
          <w:bCs/>
          <w:sz w:val="24"/>
          <w:szCs w:val="24"/>
        </w:rPr>
        <w:t>能够填写维修记录和放行记录；</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21</w:t>
      </w:r>
      <w:r>
        <w:rPr>
          <w:rFonts w:hint="eastAsia" w:ascii="微软雅黑" w:hAnsi="微软雅黑" w:eastAsia="微软雅黑" w:cs="微软雅黑"/>
          <w:bCs/>
          <w:sz w:val="24"/>
          <w:szCs w:val="24"/>
        </w:rPr>
        <w:t>能够依据维修程序手册航线维修信息通报程序进行信息通报；</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22</w:t>
      </w:r>
      <w:r>
        <w:rPr>
          <w:rFonts w:hint="eastAsia" w:ascii="微软雅黑" w:hAnsi="微软雅黑" w:eastAsia="微软雅黑" w:cs="微软雅黑"/>
          <w:bCs/>
          <w:sz w:val="24"/>
          <w:szCs w:val="24"/>
        </w:rPr>
        <w:t>具有良好的语言、文字表达能力和沟通能力，能够与接口部门的协调；</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23</w:t>
      </w:r>
      <w:r>
        <w:rPr>
          <w:rFonts w:hint="eastAsia" w:ascii="微软雅黑" w:hAnsi="微软雅黑" w:eastAsia="微软雅黑" w:cs="微软雅黑"/>
          <w:bCs/>
          <w:sz w:val="24"/>
          <w:szCs w:val="24"/>
        </w:rPr>
        <w:t>能够完成维修工作交接班；</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24</w:t>
      </w:r>
      <w:r>
        <w:rPr>
          <w:rFonts w:hint="eastAsia" w:ascii="微软雅黑" w:hAnsi="微软雅黑" w:eastAsia="微软雅黑" w:cs="微软雅黑"/>
          <w:bCs/>
          <w:sz w:val="24"/>
          <w:szCs w:val="24"/>
        </w:rPr>
        <w:t>具有探究学习、终身学习、分析问题和解决问题岗位能力提升的能力。</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3.素质</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坚定拥护中国共产党的领导和我国社会主义制度；</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在习近平新时代中国特色社会主义思想指引下，践行社会主义核心价值观，具有深厚的爱国情感和中华民族自豪感；</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崇尚宪法、遵法守纪、崇德向善、诚实守信、尊重生命、热爱劳动，履行道德准则和行为规范，具有社会责任感和社会参与意识；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普通话水平达到三级甲等以上；</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具有健康的体魄、心理和健全的人格，掌握基本运动知识和1-2项运动技能，养成良好的健身与卫生习惯，以及良好的行为习惯；</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具有一定的审美和人文素养，能够形成1-2项艺术特长或爱好；</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具有质量意识、环保意识、信息素养、工匠精神、创新思维；</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热爱民航事业，践行“忠诚担当的政治品格，严谨科学的专业精神，团结协作的工作作风，敬业奉献的职业操守”当代民航精神；</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遵守仪容得体、举止文明、纪律严明的基本行为规范；</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具有敬畏生命、敬畏规章、敬畏职责的心理；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具有规章意识、风险意识、举手意识、红线意识等高度的民航安全意识；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遵循准备到位、施工到位、测试到位、收尾到位、交接到位现场工作守则；</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勇于奋斗、乐观向上，具有自我管理能力、职业生涯规划的意识，有较强的集体意识和团队合作精神。</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bookmarkStart w:id="68" w:name="_Toc20556081"/>
      <w:bookmarkStart w:id="69" w:name="_Toc23515"/>
      <w:bookmarkStart w:id="70" w:name="_Toc27233227"/>
      <w:bookmarkStart w:id="71" w:name="_Toc13958"/>
      <w:bookmarkStart w:id="72" w:name="_Toc5030"/>
      <w:bookmarkStart w:id="73" w:name="_Toc27805"/>
      <w:r>
        <w:rPr>
          <w:rFonts w:hint="eastAsia" w:ascii="微软雅黑" w:hAnsi="微软雅黑" w:eastAsia="微软雅黑" w:cs="微软雅黑"/>
          <w:sz w:val="28"/>
          <w:szCs w:val="28"/>
        </w:rPr>
        <w:t>六、课程设置及学时</w:t>
      </w:r>
      <w:bookmarkEnd w:id="68"/>
      <w:r>
        <w:rPr>
          <w:rFonts w:hint="eastAsia" w:ascii="微软雅黑" w:hAnsi="微软雅黑" w:eastAsia="微软雅黑" w:cs="微软雅黑"/>
          <w:sz w:val="28"/>
          <w:szCs w:val="28"/>
        </w:rPr>
        <w:t>安排</w:t>
      </w:r>
      <w:bookmarkEnd w:id="69"/>
      <w:bookmarkEnd w:id="70"/>
      <w:bookmarkEnd w:id="71"/>
      <w:bookmarkEnd w:id="72"/>
      <w:bookmarkEnd w:id="73"/>
      <w:bookmarkStart w:id="74" w:name="_Toc7725"/>
      <w:bookmarkStart w:id="75" w:name="_Toc26837"/>
      <w:bookmarkStart w:id="76" w:name="_Toc29344"/>
      <w:bookmarkStart w:id="77" w:name="_Toc19186"/>
      <w:bookmarkStart w:id="78" w:name="_Toc30825"/>
      <w:bookmarkStart w:id="79" w:name="_Toc15160"/>
    </w:p>
    <w:p>
      <w:pPr>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根据航空维修岗位群的典型工作任务和岗位能力要求，构建“科学人文基础-基础维修能力-系统维修能力-综合维修能力-岗位适应能力”一基四级递进式的能力培养体系，由科学人文基础模块、基础维修平台模块、系统维修核心模块、综合维修实训模块及企业顶岗实践模块组成的岗课赛证融通专业课程体系，思政课程与课程思政同向同行的思政课程体系所构成。</w:t>
      </w:r>
    </w:p>
    <w:p>
      <w:pPr>
        <w:rPr>
          <w:rFonts w:ascii="微软雅黑" w:hAnsi="微软雅黑" w:eastAsia="微软雅黑" w:cs="微软雅黑"/>
          <w:bCs/>
          <w:sz w:val="24"/>
          <w:szCs w:val="24"/>
        </w:rPr>
      </w:pPr>
      <w:r>
        <w:rPr>
          <w:rFonts w:asciiTheme="minorEastAsia" w:hAnsiTheme="minorEastAsia"/>
          <w:sz w:val="24"/>
        </w:rPr>
        <w:drawing>
          <wp:inline distT="0" distB="0" distL="0" distR="0">
            <wp:extent cx="5575300" cy="276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91107" cy="2773412"/>
                    </a:xfrm>
                    <a:prstGeom prst="rect">
                      <a:avLst/>
                    </a:prstGeom>
                    <a:noFill/>
                  </pic:spPr>
                </pic:pic>
              </a:graphicData>
            </a:graphic>
          </wp:inline>
        </w:drawing>
      </w:r>
    </w:p>
    <w:p>
      <w:pPr>
        <w:jc w:val="center"/>
        <w:rPr>
          <w:rFonts w:ascii="微软雅黑" w:hAnsi="微软雅黑" w:eastAsia="微软雅黑" w:cs="微软雅黑"/>
          <w:bCs/>
          <w:sz w:val="24"/>
          <w:szCs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1 </w:t>
      </w:r>
      <w:r>
        <w:rPr>
          <w:rFonts w:hint="eastAsia" w:ascii="微软雅黑" w:hAnsi="微软雅黑" w:eastAsia="微软雅黑" w:cs="微软雅黑"/>
          <w:color w:val="1F2DA8"/>
          <w:sz w:val="18"/>
          <w:szCs w:val="18"/>
        </w:rPr>
        <w:t>一基四级递进式能力培养体系</w:t>
      </w:r>
    </w:p>
    <w:bookmarkEnd w:id="74"/>
    <w:bookmarkEnd w:id="75"/>
    <w:p>
      <w:pPr>
        <w:pStyle w:val="2"/>
        <w:numPr>
          <w:ilvl w:val="0"/>
          <w:numId w:val="1"/>
        </w:numPr>
        <w:adjustRightInd w:val="0"/>
        <w:snapToGrid w:val="0"/>
        <w:spacing w:before="0" w:after="0" w:line="500" w:lineRule="exact"/>
        <w:ind w:firstLine="480" w:firstLineChars="200"/>
        <w:rPr>
          <w:rFonts w:hint="eastAsia" w:ascii="微软雅黑" w:hAnsi="微软雅黑" w:eastAsia="微软雅黑" w:cs="微软雅黑"/>
          <w:sz w:val="24"/>
          <w:szCs w:val="24"/>
        </w:rPr>
      </w:pPr>
      <w:bookmarkStart w:id="80" w:name="_Toc4244"/>
      <w:bookmarkStart w:id="81" w:name="_Toc30904"/>
      <w:bookmarkStart w:id="82" w:name="_Toc32082"/>
      <w:bookmarkStart w:id="83" w:name="_Toc12921"/>
      <w:r>
        <w:rPr>
          <w:rFonts w:hint="eastAsia" w:ascii="微软雅黑" w:hAnsi="微软雅黑" w:eastAsia="微软雅黑" w:cs="微软雅黑"/>
          <w:sz w:val="24"/>
          <w:szCs w:val="24"/>
        </w:rPr>
        <w:t>岗课赛证融通</w:t>
      </w:r>
      <w:bookmarkEnd w:id="80"/>
      <w:bookmarkEnd w:id="81"/>
      <w:bookmarkEnd w:id="82"/>
      <w:bookmarkEnd w:id="83"/>
      <w:bookmarkStart w:id="84" w:name="_Toc19734"/>
      <w:bookmarkStart w:id="85" w:name="_Toc24410"/>
      <w:bookmarkStart w:id="86" w:name="_Toc5771"/>
    </w:p>
    <w:p>
      <w:pPr>
        <w:numPr>
          <w:ilvl w:val="0"/>
          <w:numId w:val="0"/>
        </w:numPr>
        <w:jc w:val="center"/>
      </w:pPr>
      <w:r>
        <w:rPr>
          <w:rFonts w:hint="eastAsia" w:ascii="微软雅黑" w:hAnsi="微软雅黑" w:eastAsia="微软雅黑"/>
          <w:color w:val="000099"/>
          <w:sz w:val="24"/>
          <w:szCs w:val="24"/>
        </w:rPr>
        <w:t>表3 岗课赛证一览表</w:t>
      </w:r>
    </w:p>
    <w:tbl>
      <w:tblPr>
        <w:tblStyle w:val="16"/>
        <w:tblpPr w:leftFromText="180" w:rightFromText="180" w:vertAnchor="text" w:horzAnchor="page" w:tblpX="1561" w:tblpY="548"/>
        <w:tblOverlap w:val="never"/>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54"/>
        <w:gridCol w:w="1816"/>
        <w:gridCol w:w="1007"/>
        <w:gridCol w:w="2156"/>
        <w:gridCol w:w="1751"/>
        <w:gridCol w:w="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gridSpan w:val="2"/>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岗</w:t>
            </w:r>
          </w:p>
        </w:tc>
        <w:tc>
          <w:tcPr>
            <w:tcW w:w="1007"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证</w:t>
            </w:r>
          </w:p>
        </w:tc>
        <w:tc>
          <w:tcPr>
            <w:tcW w:w="559"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赛</w:t>
            </w:r>
          </w:p>
        </w:tc>
        <w:tc>
          <w:tcPr>
            <w:tcW w:w="1196" w:type="pct"/>
            <w:vMerge w:val="restart"/>
            <w:tcBorders>
              <w:top w:val="single" w:color="auto" w:sz="4" w:space="0"/>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职业能力要求</w:t>
            </w:r>
          </w:p>
        </w:tc>
        <w:tc>
          <w:tcPr>
            <w:tcW w:w="971"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课</w:t>
            </w:r>
          </w:p>
        </w:tc>
        <w:tc>
          <w:tcPr>
            <w:tcW w:w="219" w:type="pct"/>
            <w:vMerge w:val="restart"/>
            <w:tcBorders>
              <w:top w:val="single" w:color="auto" w:sz="4" w:space="0"/>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color w:val="C00000"/>
                <w:sz w:val="18"/>
                <w:szCs w:val="18"/>
              </w:rPr>
            </w:pPr>
            <w:r>
              <w:rPr>
                <w:rFonts w:hint="eastAsia" w:ascii="微软雅黑" w:hAnsi="微软雅黑" w:eastAsia="微软雅黑" w:cs="微软雅黑"/>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93"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color w:val="C00000"/>
                <w:sz w:val="18"/>
                <w:szCs w:val="18"/>
              </w:rPr>
            </w:pPr>
            <w:r>
              <w:rPr>
                <w:rFonts w:hint="eastAsia" w:ascii="微软雅黑" w:hAnsi="微软雅黑" w:eastAsia="微软雅黑" w:cs="微软雅黑"/>
                <w:b/>
                <w:sz w:val="18"/>
                <w:szCs w:val="18"/>
              </w:rPr>
              <w:t>工作领域</w:t>
            </w:r>
          </w:p>
        </w:tc>
        <w:tc>
          <w:tcPr>
            <w:tcW w:w="752"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典型工作任务</w:t>
            </w:r>
          </w:p>
        </w:tc>
        <w:tc>
          <w:tcPr>
            <w:tcW w:w="1007"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相关职业资格标准、行业标准</w:t>
            </w:r>
          </w:p>
        </w:tc>
        <w:tc>
          <w:tcPr>
            <w:tcW w:w="559"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竞赛标准</w:t>
            </w:r>
          </w:p>
        </w:tc>
        <w:tc>
          <w:tcPr>
            <w:tcW w:w="1196" w:type="pct"/>
            <w:vMerge w:val="continue"/>
            <w:tcBorders>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p>
        </w:tc>
        <w:tc>
          <w:tcPr>
            <w:tcW w:w="971"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相关课程</w:t>
            </w:r>
          </w:p>
        </w:tc>
        <w:tc>
          <w:tcPr>
            <w:tcW w:w="219" w:type="pct"/>
            <w:vMerge w:val="continue"/>
            <w:tcBorders>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color w:val="C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93"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A航线维修</w:t>
            </w:r>
          </w:p>
        </w:tc>
        <w:tc>
          <w:tcPr>
            <w:tcW w:w="752"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-1</w:t>
            </w:r>
            <w:r>
              <w:rPr>
                <w:rFonts w:hint="eastAsia" w:ascii="微软雅黑" w:hAnsi="微软雅黑" w:eastAsia="微软雅黑" w:cs="微软雅黑"/>
                <w:sz w:val="18"/>
                <w:szCs w:val="18"/>
              </w:rPr>
              <w:t>结构修理；</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-2</w:t>
            </w:r>
            <w:r>
              <w:rPr>
                <w:rFonts w:hint="eastAsia" w:ascii="微软雅黑" w:hAnsi="微软雅黑" w:eastAsia="微软雅黑" w:cs="微软雅黑"/>
                <w:sz w:val="18"/>
                <w:szCs w:val="18"/>
              </w:rPr>
              <w:t>飞机地面勤务；</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-3</w:t>
            </w:r>
            <w:r>
              <w:rPr>
                <w:rFonts w:hint="eastAsia" w:ascii="微软雅黑" w:hAnsi="微软雅黑" w:eastAsia="微软雅黑" w:cs="微软雅黑"/>
                <w:sz w:val="18"/>
                <w:szCs w:val="18"/>
              </w:rPr>
              <w:t>飞机例行/非例行检查；</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-4</w:t>
            </w:r>
            <w:r>
              <w:rPr>
                <w:rFonts w:hint="eastAsia" w:ascii="微软雅黑" w:hAnsi="微软雅黑" w:eastAsia="微软雅黑" w:cs="微软雅黑"/>
                <w:sz w:val="18"/>
                <w:szCs w:val="18"/>
              </w:rPr>
              <w:t>飞机维护勤务工作；</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-5</w:t>
            </w:r>
            <w:r>
              <w:rPr>
                <w:rFonts w:hint="eastAsia" w:ascii="微软雅黑" w:hAnsi="微软雅黑" w:eastAsia="微软雅黑" w:cs="微软雅黑"/>
                <w:sz w:val="18"/>
                <w:szCs w:val="18"/>
              </w:rPr>
              <w:t>系统故障诊断与排除；</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-6</w:t>
            </w:r>
            <w:r>
              <w:rPr>
                <w:rFonts w:hint="eastAsia" w:ascii="微软雅黑" w:hAnsi="微软雅黑" w:eastAsia="微软雅黑" w:cs="微软雅黑"/>
                <w:sz w:val="18"/>
                <w:szCs w:val="18"/>
              </w:rPr>
              <w:t>航线可更换件拆装</w:t>
            </w:r>
          </w:p>
        </w:tc>
        <w:tc>
          <w:tcPr>
            <w:tcW w:w="1007"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民用航空器维修人员执照；</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民用航空器航线维修职业技能证书；</w:t>
            </w:r>
            <w:r>
              <w:rPr>
                <w:rFonts w:ascii="微软雅黑" w:hAnsi="微软雅黑" w:eastAsia="微软雅黑" w:cs="微软雅黑"/>
                <w:sz w:val="18"/>
                <w:szCs w:val="18"/>
              </w:rPr>
              <w:t>AC-147-FS-002R1 MH/T 3010-2006</w:t>
            </w:r>
            <w:r>
              <w:rPr>
                <w:rFonts w:hint="eastAsia" w:ascii="微软雅黑" w:hAnsi="微软雅黑" w:eastAsia="微软雅黑" w:cs="微软雅黑"/>
                <w:sz w:val="18"/>
                <w:szCs w:val="18"/>
              </w:rPr>
              <w:t>；</w:t>
            </w:r>
            <w:r>
              <w:t xml:space="preserve"> </w:t>
            </w:r>
            <w:r>
              <w:rPr>
                <w:rFonts w:ascii="微软雅黑" w:hAnsi="微软雅黑" w:eastAsia="微软雅黑" w:cs="微软雅黑"/>
                <w:sz w:val="18"/>
                <w:szCs w:val="18"/>
              </w:rPr>
              <w:t>MH/T 3011-2006</w:t>
            </w:r>
            <w:r>
              <w:rPr>
                <w:rFonts w:hint="eastAsia" w:ascii="微软雅黑" w:hAnsi="微软雅黑" w:eastAsia="微软雅黑" w:cs="微软雅黑"/>
                <w:sz w:val="18"/>
                <w:szCs w:val="18"/>
              </w:rPr>
              <w:t>；</w:t>
            </w:r>
            <w:r>
              <w:rPr>
                <w:rFonts w:ascii="微软雅黑" w:hAnsi="微软雅黑" w:eastAsia="微软雅黑" w:cs="微软雅黑"/>
                <w:sz w:val="18"/>
                <w:szCs w:val="18"/>
              </w:rPr>
              <w:t>MH/T 3023-2011</w:t>
            </w:r>
            <w:r>
              <w:rPr>
                <w:rFonts w:hint="eastAsia" w:ascii="微软雅黑" w:hAnsi="微软雅黑" w:eastAsia="微软雅黑" w:cs="微软雅黑"/>
                <w:sz w:val="18"/>
                <w:szCs w:val="18"/>
              </w:rPr>
              <w:t>；</w:t>
            </w:r>
            <w:r>
              <w:rPr>
                <w:rFonts w:ascii="微软雅黑" w:hAnsi="微软雅黑" w:eastAsia="微软雅黑" w:cs="微软雅黑"/>
                <w:sz w:val="18"/>
                <w:szCs w:val="18"/>
              </w:rPr>
              <w:t xml:space="preserve"> HB644-2002</w:t>
            </w:r>
            <w:r>
              <w:rPr>
                <w:rFonts w:hint="eastAsia" w:ascii="微软雅黑" w:hAnsi="微软雅黑" w:eastAsia="微软雅黑" w:cs="微软雅黑"/>
                <w:sz w:val="18"/>
                <w:szCs w:val="18"/>
              </w:rPr>
              <w:t>；</w:t>
            </w:r>
            <w:r>
              <w:t xml:space="preserve"> </w:t>
            </w:r>
            <w:r>
              <w:rPr>
                <w:rFonts w:ascii="微软雅黑" w:hAnsi="微软雅黑" w:eastAsia="微软雅黑" w:cs="微软雅黑"/>
                <w:sz w:val="18"/>
                <w:szCs w:val="18"/>
              </w:rPr>
              <w:t>HB/Z223.15-2002</w:t>
            </w:r>
            <w:r>
              <w:rPr>
                <w:rFonts w:hint="eastAsia" w:ascii="微软雅黑" w:hAnsi="微软雅黑" w:eastAsia="微软雅黑" w:cs="微软雅黑"/>
                <w:sz w:val="18"/>
                <w:szCs w:val="18"/>
              </w:rPr>
              <w:t>A</w:t>
            </w:r>
            <w:r>
              <w:rPr>
                <w:rFonts w:ascii="微软雅黑" w:hAnsi="微软雅黑" w:eastAsia="微软雅黑" w:cs="微软雅黑"/>
                <w:sz w:val="18"/>
                <w:szCs w:val="18"/>
              </w:rPr>
              <w:t>MM;WDM;</w:t>
            </w:r>
          </w:p>
          <w:p>
            <w:pPr>
              <w:adjustRightInd w:val="0"/>
              <w:snapToGrid w:val="0"/>
              <w:spacing w:line="240" w:lineRule="atLeast"/>
              <w:jc w:val="center"/>
              <w:rPr>
                <w:rFonts w:ascii="微软雅黑" w:hAnsi="微软雅黑" w:eastAsia="微软雅黑" w:cs="微软雅黑"/>
                <w:sz w:val="18"/>
                <w:szCs w:val="18"/>
              </w:rPr>
            </w:pPr>
            <w:r>
              <w:rPr>
                <w:rFonts w:ascii="微软雅黑" w:hAnsi="微软雅黑" w:eastAsia="微软雅黑" w:cs="微软雅黑"/>
                <w:sz w:val="18"/>
                <w:szCs w:val="18"/>
              </w:rPr>
              <w:t>SWPM;IPC</w:t>
            </w:r>
          </w:p>
        </w:tc>
        <w:tc>
          <w:tcPr>
            <w:tcW w:w="5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飞机发动机拆装调试与维修赛项规程</w:t>
            </w:r>
          </w:p>
        </w:tc>
        <w:tc>
          <w:tcPr>
            <w:tcW w:w="11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能够修理铆装结构；</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能够拆装航空部件；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能够测量线路故障；</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能够查询相关手册；</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完成导线终端维修；</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完成紧固件拆装与保险；</w:t>
            </w:r>
          </w:p>
        </w:tc>
        <w:tc>
          <w:tcPr>
            <w:tcW w:w="971"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飞机机械系统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飞机结构基础</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飞机电气系统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航空涡轮发动机原理与结构</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航空涡轮发动机系统与控制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航空器维修基本技能实践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飞机结构修理实践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飞机手册使用实践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飞机标准线路施工实践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飞机标准线路施工实践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航线例行工卡检查综合实践</w:t>
            </w:r>
          </w:p>
        </w:tc>
        <w:tc>
          <w:tcPr>
            <w:tcW w:w="219" w:type="pct"/>
            <w:tcBorders>
              <w:top w:val="single" w:color="auto" w:sz="4" w:space="0"/>
              <w:left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color w:val="7F7F7F" w:themeColor="background1" w:themeShade="80"/>
                <w:spacing w:val="-6"/>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93"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b/>
                <w:sz w:val="18"/>
                <w:szCs w:val="18"/>
              </w:rPr>
            </w:pPr>
          </w:p>
        </w:tc>
        <w:tc>
          <w:tcPr>
            <w:tcW w:w="752"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b/>
                <w:sz w:val="18"/>
                <w:szCs w:val="18"/>
              </w:rPr>
            </w:pPr>
          </w:p>
        </w:tc>
        <w:tc>
          <w:tcPr>
            <w:tcW w:w="1007"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飞机维修技能赛项规程</w:t>
            </w:r>
          </w:p>
        </w:tc>
        <w:tc>
          <w:tcPr>
            <w:tcW w:w="11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能够校装飞控传动系统；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能够完成例行绕机检查；</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能够拆装航空部件；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能够测量线路故障；</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完成导线终端维修；</w:t>
            </w:r>
          </w:p>
        </w:tc>
        <w:tc>
          <w:tcPr>
            <w:tcW w:w="971"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p>
        </w:tc>
        <w:tc>
          <w:tcPr>
            <w:tcW w:w="219" w:type="pct"/>
            <w:tcBorders>
              <w:left w:val="single" w:color="auto" w:sz="4" w:space="0"/>
              <w:right w:val="single" w:color="auto" w:sz="4" w:space="0"/>
            </w:tcBorders>
            <w:vAlign w:val="center"/>
          </w:tcPr>
          <w:p>
            <w:pPr>
              <w:widowControl/>
              <w:adjustRightInd w:val="0"/>
              <w:snapToGrid w:val="0"/>
              <w:spacing w:line="240" w:lineRule="atLeast"/>
              <w:jc w:val="left"/>
              <w:rPr>
                <w:rFonts w:ascii="微软雅黑" w:hAnsi="微软雅黑" w:eastAsia="微软雅黑" w:cs="微软雅黑"/>
                <w:color w:val="7F7F7F" w:themeColor="background1" w:themeShade="80"/>
                <w:sz w:val="18"/>
                <w:szCs w:val="18"/>
              </w:rPr>
            </w:pPr>
          </w:p>
        </w:tc>
      </w:tr>
      <w:bookmarkEnd w:id="84"/>
      <w:bookmarkEnd w:id="85"/>
      <w:bookmarkEnd w:id="86"/>
    </w:tbl>
    <w:p>
      <w:pPr>
        <w:pStyle w:val="15"/>
        <w:adjustRightInd w:val="0"/>
        <w:snapToGrid w:val="0"/>
        <w:spacing w:before="0" w:after="0" w:line="500" w:lineRule="atLeast"/>
        <w:rPr>
          <w:rFonts w:ascii="微软雅黑" w:hAnsi="微软雅黑" w:eastAsia="微软雅黑"/>
          <w:color w:val="000099"/>
          <w:sz w:val="24"/>
          <w:szCs w:val="24"/>
        </w:rPr>
      </w:pPr>
    </w:p>
    <w:p>
      <w:pPr>
        <w:pStyle w:val="2"/>
        <w:adjustRightInd w:val="0"/>
        <w:snapToGrid w:val="0"/>
        <w:spacing w:before="156" w:beforeLines="50" w:after="156" w:afterLines="50" w:line="0" w:lineRule="atLeast"/>
        <w:ind w:firstLine="480" w:firstLineChars="200"/>
      </w:pPr>
      <w:bookmarkStart w:id="87" w:name="_Toc7404"/>
      <w:bookmarkStart w:id="88" w:name="_Toc427"/>
      <w:r>
        <w:rPr>
          <w:rFonts w:hint="eastAsia" w:ascii="微软雅黑" w:hAnsi="微软雅黑" w:eastAsia="微软雅黑" w:cs="微软雅黑"/>
          <w:sz w:val="24"/>
          <w:szCs w:val="24"/>
        </w:rPr>
        <w:t>（二）</w:t>
      </w:r>
      <w:bookmarkEnd w:id="76"/>
      <w:bookmarkEnd w:id="77"/>
      <w:bookmarkEnd w:id="87"/>
      <w:bookmarkEnd w:id="88"/>
      <w:r>
        <w:rPr>
          <w:rFonts w:hint="eastAsia" w:ascii="微软雅黑" w:hAnsi="微软雅黑" w:eastAsia="微软雅黑" w:cs="微软雅黑"/>
          <w:sz w:val="24"/>
          <w:szCs w:val="24"/>
        </w:rPr>
        <w:t>课程体系设计</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1.课程体系总体设计</w:t>
      </w:r>
      <w:bookmarkEnd w:id="78"/>
      <w:bookmarkEnd w:id="79"/>
      <w:bookmarkStart w:id="89" w:name="_Toc29426"/>
      <w:bookmarkStart w:id="90" w:name="_Toc1837"/>
      <w:bookmarkStart w:id="91" w:name="_Toc3388"/>
      <w:bookmarkStart w:id="92" w:name="_Toc658"/>
      <w:bookmarkStart w:id="93" w:name="_Toc20556082"/>
      <w:bookmarkStart w:id="94" w:name="_Toc27233228"/>
      <w:bookmarkStart w:id="95" w:name="_Hlk41473287"/>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为适应新时代产业对人才规格的需求，增加信息技术基础课程；为适应跨文化交流需求，增加公共英语课学时，增设西方文化与礼仪、航空运输地理公共选修课和维修专业英语专业基础课，同时专业核心课使用中英双语工卡，培养学生使用国际通用语言交流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设置基础维修平台模块，基础的学科课程培养学生扎实的基础理论；维修基本技能训练学生过硬的基本技能。</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设置系统维修核心模块，集成系统原理理论和系统维护维修工作的学习理实一体化教学项目，依据认知规律和能力形成规律，培养学生综合应用理论和技能进行系统故障诊断的能力。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设置综合维修实训模块，以企业岗位不同技术等级的典型工作任务综合实训，着力提升学生的系统思维能力和整体性分析及解决问题的能力。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企业适岗实践模块，创新方案与作品设计项目施基于对专业基础的掌握和对岗位工作的熟悉，引导学生创新思维，培养学生创新实践能力。以实际生产实践项目为载体，设置职业技能大赛竞赛、创新方案与作品设计、学历教育毕业审核及民航局执照考核、龙头企业授权评估，进行人才培养的岗位适应能力的综合检验。</w:t>
      </w:r>
    </w:p>
    <w:p>
      <w:pPr>
        <w:rPr>
          <w:rFonts w:ascii="微软雅黑" w:hAnsi="微软雅黑" w:eastAsia="微软雅黑" w:cs="微软雅黑"/>
          <w:bCs/>
          <w:sz w:val="24"/>
          <w:szCs w:val="24"/>
        </w:rPr>
      </w:pPr>
      <w:r>
        <w:rPr>
          <w:rFonts w:asciiTheme="minorEastAsia" w:hAnsiTheme="minorEastAsia"/>
          <w:sz w:val="24"/>
        </w:rPr>
        <w:drawing>
          <wp:inline distT="0" distB="0" distL="0" distR="0">
            <wp:extent cx="571944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7682" cy="3210530"/>
                    </a:xfrm>
                    <a:prstGeom prst="rect">
                      <a:avLst/>
                    </a:prstGeom>
                    <a:noFill/>
                  </pic:spPr>
                </pic:pic>
              </a:graphicData>
            </a:graphic>
          </wp:inline>
        </w:drawing>
      </w:r>
    </w:p>
    <w:p>
      <w:pPr>
        <w:spacing w:line="360" w:lineRule="auto"/>
        <w:jc w:val="center"/>
        <w:rPr>
          <w:rFonts w:asciiTheme="minorEastAsia" w:hAnsiTheme="minorEastAsia"/>
          <w:sz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2 </w:t>
      </w:r>
      <w:r>
        <w:rPr>
          <w:rFonts w:hint="eastAsia" w:ascii="微软雅黑" w:hAnsi="微软雅黑" w:eastAsia="微软雅黑" w:cs="微软雅黑"/>
          <w:color w:val="1F2DA8"/>
          <w:sz w:val="18"/>
          <w:szCs w:val="18"/>
        </w:rPr>
        <w:t>飞机机电设备维修专业课程体系</w:t>
      </w:r>
    </w:p>
    <w:p>
      <w:pPr>
        <w:overflowPunct w:val="0"/>
        <w:adjustRightInd w:val="0"/>
        <w:snapToGrid w:val="0"/>
        <w:spacing w:line="500" w:lineRule="exact"/>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2.</w:t>
      </w:r>
      <w:bookmarkEnd w:id="89"/>
      <w:bookmarkEnd w:id="90"/>
      <w:bookmarkEnd w:id="91"/>
      <w:bookmarkEnd w:id="92"/>
      <w:r>
        <w:rPr>
          <w:rFonts w:hint="eastAsia" w:ascii="微软雅黑" w:hAnsi="微软雅黑" w:eastAsia="微软雅黑" w:cs="微软雅黑"/>
          <w:b/>
          <w:bCs/>
          <w:sz w:val="24"/>
          <w:szCs w:val="24"/>
        </w:rPr>
        <w:t>实践教学体系设计</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依据本专业技术技能培养要求，设计了四级递进式实践教学体系。学生的专业技术技能的培养分为四阶段，分别是第一阶段培养航空器维修通用的基本技能，第二阶段培养学生航空器系统位置、部件、面板等识别能力，第三阶段培养学生航空器航线维修典型任务的工作能力，第四阶段培养学生解决航空器维修生产实际问题能力。实践教学课程载体详见图3。</w:t>
      </w:r>
    </w:p>
    <w:p>
      <w:pPr>
        <w:rPr>
          <w:rFonts w:ascii="微软雅黑" w:hAnsi="微软雅黑" w:eastAsia="微软雅黑" w:cs="微软雅黑"/>
          <w:bCs/>
          <w:sz w:val="24"/>
          <w:szCs w:val="24"/>
        </w:rPr>
      </w:pPr>
      <w:r>
        <w:rPr>
          <w:rFonts w:ascii="微软雅黑" w:hAnsi="微软雅黑" w:eastAsia="微软雅黑" w:cs="微软雅黑"/>
          <w:bCs/>
          <w:sz w:val="24"/>
          <w:szCs w:val="24"/>
        </w:rPr>
        <w:drawing>
          <wp:inline distT="0" distB="0" distL="0" distR="0">
            <wp:extent cx="5659755" cy="29965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77173" cy="3005927"/>
                    </a:xfrm>
                    <a:prstGeom prst="rect">
                      <a:avLst/>
                    </a:prstGeom>
                    <a:noFill/>
                  </pic:spPr>
                </pic:pic>
              </a:graphicData>
            </a:graphic>
          </wp:inline>
        </w:drawing>
      </w:r>
    </w:p>
    <w:p>
      <w:pPr>
        <w:overflowPunct w:val="0"/>
        <w:adjustRightInd w:val="0"/>
        <w:snapToGrid w:val="0"/>
        <w:spacing w:line="500" w:lineRule="exact"/>
        <w:jc w:val="center"/>
        <w:rPr>
          <w:rFonts w:ascii="微软雅黑" w:hAnsi="微软雅黑" w:eastAsia="微软雅黑" w:cs="微软雅黑"/>
          <w:sz w:val="24"/>
          <w:szCs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3 </w:t>
      </w:r>
      <w:r>
        <w:rPr>
          <w:rFonts w:hint="eastAsia" w:ascii="微软雅黑" w:hAnsi="微软雅黑" w:eastAsia="微软雅黑" w:cs="微软雅黑"/>
          <w:color w:val="1F2DA8"/>
          <w:sz w:val="18"/>
          <w:szCs w:val="18"/>
        </w:rPr>
        <w:t>飞机机电设备维修实践教学体系</w:t>
      </w:r>
    </w:p>
    <w:p>
      <w:pPr>
        <w:overflowPunct w:val="0"/>
        <w:adjustRightInd w:val="0"/>
        <w:snapToGrid w:val="0"/>
        <w:spacing w:line="500" w:lineRule="exact"/>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3.课程思政体系设计</w:t>
      </w:r>
    </w:p>
    <w:p>
      <w:pPr>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从专业人才培养目标出发构建思政课程体系，将思想政治教育主渠道由思政课延伸扩展到各门课，充分发挥课程育人功能。</w:t>
      </w:r>
    </w:p>
    <w:p>
      <w:pPr>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基础维修平台模块培养理性与实证为核心的科学精神、精益求精的工匠精神。系统维修核心模块课传递航空历史文化和时代精神、工程设计思想、激发科技报国的家国情怀和使命担当、“三个敬畏”心理，形成民航维修中安全第一、预防为主的安全方针，严谨科学的专业精神，团结协作的工作作风。综合维修实训模块培养民航维修工作“四个意识”、“五个到位”、“六个起来”，爱岗敬业、艰苦奋斗、争创一流的劳模精神。企业适岗实践模块培养学思结合、知行统一，在实践中增长智慧才干的学习习惯；勇于探索创新，解决生产实际复杂问题的工匠精神。</w:t>
      </w:r>
    </w:p>
    <w:p>
      <w:pPr>
        <w:rPr>
          <w:rFonts w:ascii="微软雅黑" w:hAnsi="微软雅黑" w:eastAsia="微软雅黑" w:cs="微软雅黑"/>
          <w:bCs/>
          <w:sz w:val="24"/>
          <w:szCs w:val="24"/>
        </w:rPr>
      </w:pPr>
      <w:r>
        <w:drawing>
          <wp:inline distT="0" distB="0" distL="114300" distR="114300">
            <wp:extent cx="5748020" cy="3295650"/>
            <wp:effectExtent l="0" t="0" r="508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750694" cy="3296969"/>
                    </a:xfrm>
                    <a:prstGeom prst="rect">
                      <a:avLst/>
                    </a:prstGeom>
                    <a:noFill/>
                    <a:ln>
                      <a:noFill/>
                    </a:ln>
                  </pic:spPr>
                </pic:pic>
              </a:graphicData>
            </a:graphic>
          </wp:inline>
        </w:drawing>
      </w:r>
    </w:p>
    <w:p>
      <w:pPr>
        <w:spacing w:line="360" w:lineRule="auto"/>
        <w:jc w:val="center"/>
        <w:rPr>
          <w:rFonts w:ascii="微软雅黑" w:hAnsi="微软雅黑" w:eastAsia="微软雅黑" w:cs="微软雅黑"/>
          <w:bCs/>
          <w:sz w:val="24"/>
          <w:szCs w:val="24"/>
        </w:rPr>
      </w:pPr>
      <w:r>
        <w:rPr>
          <w:rFonts w:hint="eastAsia" w:ascii="微软雅黑" w:hAnsi="微软雅黑" w:eastAsia="微软雅黑" w:cs="微软雅黑"/>
          <w:color w:val="1F2DA8"/>
          <w:sz w:val="18"/>
          <w:szCs w:val="18"/>
        </w:rPr>
        <w:t>图4</w:t>
      </w:r>
      <w:r>
        <w:rPr>
          <w:rFonts w:ascii="微软雅黑" w:hAnsi="微软雅黑" w:eastAsia="微软雅黑" w:cs="微软雅黑"/>
          <w:color w:val="1F2DA8"/>
          <w:sz w:val="18"/>
          <w:szCs w:val="18"/>
        </w:rPr>
        <w:t xml:space="preserve"> </w:t>
      </w:r>
      <w:r>
        <w:rPr>
          <w:rFonts w:hint="eastAsia" w:ascii="微软雅黑" w:hAnsi="微软雅黑" w:eastAsia="微软雅黑" w:cs="微软雅黑"/>
          <w:color w:val="1F2DA8"/>
          <w:sz w:val="18"/>
          <w:szCs w:val="18"/>
        </w:rPr>
        <w:t>同向同行课程思政体系</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96" w:name="_Toc28411"/>
      <w:bookmarkStart w:id="97" w:name="_Toc20499"/>
      <w:bookmarkStart w:id="98" w:name="_Toc11857"/>
      <w:bookmarkStart w:id="99" w:name="_Toc5976"/>
      <w:r>
        <w:rPr>
          <w:rFonts w:hint="eastAsia" w:ascii="微软雅黑" w:hAnsi="微软雅黑" w:eastAsia="微软雅黑" w:cs="微软雅黑"/>
          <w:sz w:val="24"/>
          <w:szCs w:val="24"/>
        </w:rPr>
        <w:t>（三）</w:t>
      </w:r>
      <w:bookmarkEnd w:id="93"/>
      <w:r>
        <w:rPr>
          <w:rFonts w:hint="eastAsia" w:ascii="微软雅黑" w:hAnsi="微软雅黑" w:eastAsia="微软雅黑" w:cs="微软雅黑"/>
          <w:sz w:val="24"/>
          <w:szCs w:val="24"/>
        </w:rPr>
        <w:t>课程</w:t>
      </w:r>
      <w:bookmarkEnd w:id="94"/>
      <w:r>
        <w:rPr>
          <w:rFonts w:hint="eastAsia" w:ascii="微软雅黑" w:hAnsi="微软雅黑" w:eastAsia="微软雅黑" w:cs="微软雅黑"/>
          <w:sz w:val="24"/>
          <w:szCs w:val="24"/>
        </w:rPr>
        <w:t>类别与学时</w:t>
      </w:r>
      <w:bookmarkEnd w:id="96"/>
      <w:bookmarkEnd w:id="97"/>
      <w:bookmarkEnd w:id="98"/>
      <w:bookmarkEnd w:id="99"/>
    </w:p>
    <w:bookmarkEnd w:id="95"/>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主要包括公共基础课程和专业（技能）课程两类。</w:t>
      </w:r>
    </w:p>
    <w:p>
      <w:pPr>
        <w:numPr>
          <w:ilvl w:val="0"/>
          <w:numId w:val="2"/>
        </w:numPr>
        <w:overflowPunct w:val="0"/>
        <w:adjustRightInd w:val="0"/>
        <w:snapToGrid w:val="0"/>
        <w:spacing w:line="500" w:lineRule="exact"/>
        <w:ind w:firstLine="480" w:firstLineChars="200"/>
        <w:rPr>
          <w:rFonts w:ascii="微软雅黑" w:hAnsi="微软雅黑" w:eastAsia="微软雅黑" w:cs="微软雅黑"/>
          <w:b/>
          <w:sz w:val="24"/>
          <w:szCs w:val="24"/>
        </w:rPr>
      </w:pPr>
      <w:bookmarkStart w:id="100" w:name="_Hlk20297830"/>
      <w:bookmarkStart w:id="101" w:name="_Hlk20236294"/>
      <w:r>
        <w:rPr>
          <w:rFonts w:hint="eastAsia" w:ascii="微软雅黑" w:hAnsi="微软雅黑" w:eastAsia="微软雅黑" w:cs="微软雅黑"/>
          <w:b/>
          <w:sz w:val="24"/>
          <w:szCs w:val="24"/>
        </w:rPr>
        <w:t>公共基础课程</w:t>
      </w:r>
    </w:p>
    <w:p>
      <w:pPr>
        <w:overflowPunct w:val="0"/>
        <w:adjustRightInd w:val="0"/>
        <w:snapToGrid w:val="0"/>
        <w:spacing w:line="500" w:lineRule="exact"/>
        <w:ind w:firstLine="720" w:firstLineChars="3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本专业的公共基础必修课程设置及学时安排如表4所示。</w:t>
      </w:r>
      <w:bookmarkEnd w:id="100"/>
    </w:p>
    <w:p>
      <w:pPr>
        <w:pStyle w:val="15"/>
        <w:adjustRightInd w:val="0"/>
        <w:snapToGrid w:val="0"/>
        <w:spacing w:before="0" w:after="0" w:line="500" w:lineRule="atLeast"/>
        <w:rPr>
          <w:rFonts w:ascii="微软雅黑" w:hAnsi="微软雅黑" w:eastAsia="微软雅黑"/>
          <w:color w:val="000099"/>
          <w:sz w:val="24"/>
          <w:szCs w:val="24"/>
        </w:rPr>
      </w:pPr>
      <w:bookmarkStart w:id="102" w:name="_Toc29725"/>
      <w:bookmarkStart w:id="103" w:name="_Toc41473423"/>
      <w:bookmarkStart w:id="104" w:name="_Toc9589"/>
      <w:bookmarkStart w:id="105" w:name="_Toc41473121"/>
      <w:bookmarkStart w:id="106" w:name="_Toc6409"/>
      <w:bookmarkStart w:id="107" w:name="_Toc6098"/>
      <w:r>
        <w:rPr>
          <w:rFonts w:hint="eastAsia" w:ascii="微软雅黑" w:hAnsi="微软雅黑" w:eastAsia="微软雅黑"/>
          <w:color w:val="000099"/>
          <w:sz w:val="24"/>
          <w:szCs w:val="24"/>
        </w:rPr>
        <w:t xml:space="preserve">表4 </w:t>
      </w:r>
      <w:bookmarkStart w:id="108" w:name="_Hlk20299952"/>
      <w:r>
        <w:rPr>
          <w:rFonts w:hint="eastAsia" w:ascii="微软雅黑" w:hAnsi="微软雅黑" w:eastAsia="微软雅黑"/>
          <w:color w:val="000099"/>
          <w:sz w:val="24"/>
          <w:szCs w:val="24"/>
        </w:rPr>
        <w:t>公共基础必修课程设置及学时安排</w:t>
      </w:r>
      <w:bookmarkEnd w:id="102"/>
      <w:bookmarkEnd w:id="103"/>
      <w:bookmarkEnd w:id="104"/>
      <w:bookmarkEnd w:id="105"/>
      <w:bookmarkEnd w:id="106"/>
      <w:bookmarkEnd w:id="107"/>
    </w:p>
    <w:bookmarkEnd w:id="101"/>
    <w:bookmarkEnd w:id="108"/>
    <w:tbl>
      <w:tblPr>
        <w:tblStyle w:val="17"/>
        <w:tblW w:w="93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5"/>
        <w:gridCol w:w="1230"/>
        <w:gridCol w:w="2453"/>
        <w:gridCol w:w="2551"/>
        <w:gridCol w:w="993"/>
        <w:gridCol w:w="992"/>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bookmarkStart w:id="109" w:name="_Hlk27151345"/>
            <w:bookmarkStart w:id="110" w:name="_Hlk20232478"/>
            <w:r>
              <w:rPr>
                <w:rFonts w:hint="eastAsia" w:ascii="微软雅黑" w:hAnsi="微软雅黑" w:eastAsia="微软雅黑" w:cs="Times New Roman"/>
                <w:b/>
                <w:bCs/>
                <w:sz w:val="18"/>
                <w:szCs w:val="18"/>
              </w:rPr>
              <w:t>序号</w:t>
            </w:r>
          </w:p>
        </w:tc>
        <w:tc>
          <w:tcPr>
            <w:tcW w:w="1230"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2453"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993"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highlight w:val="yellow"/>
              </w:rPr>
            </w:pPr>
            <w:r>
              <w:rPr>
                <w:rFonts w:hint="eastAsia" w:ascii="微软雅黑" w:hAnsi="微软雅黑" w:eastAsia="微软雅黑" w:cs="Times New Roman"/>
                <w:b/>
                <w:bCs/>
                <w:sz w:val="18"/>
                <w:szCs w:val="18"/>
              </w:rPr>
              <w:t>对人才培养规格的支撑</w:t>
            </w:r>
          </w:p>
        </w:tc>
        <w:tc>
          <w:tcPr>
            <w:tcW w:w="992"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highlight w:val="yellow"/>
              </w:rPr>
            </w:pPr>
            <w:r>
              <w:rPr>
                <w:rFonts w:hint="eastAsia" w:ascii="微软雅黑" w:hAnsi="微软雅黑" w:eastAsia="微软雅黑" w:cs="Times New Roman"/>
                <w:b/>
                <w:bCs/>
                <w:sz w:val="18"/>
                <w:szCs w:val="18"/>
              </w:rPr>
              <w:t>总学时</w:t>
            </w:r>
          </w:p>
        </w:tc>
        <w:tc>
          <w:tcPr>
            <w:tcW w:w="586"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习近平新时代中国特色社会主义思想概论</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 xml:space="preserve">通过学习，使学生更好理解把握习近平新时代中国特色社会主义思想的基本精神、基本内容、基本要求，自觉地用习近平新时代中国特色社会主义思想武装头脑、指导实践、推动学习。 </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 xml:space="preserve"> 习近平新时代中国特色社会主义思想的历史地位、主要内容、重大意义等</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hint="eastAsia" w:ascii="微软雅黑" w:hAnsi="微软雅黑" w:eastAsia="微软雅黑" w:cs="Times New Roman"/>
                <w:sz w:val="18"/>
                <w:szCs w:val="18"/>
                <w:lang w:eastAsia="zh-CN"/>
              </w:rPr>
            </w:pPr>
            <w:r>
              <w:rPr>
                <w:rFonts w:hint="eastAsia" w:ascii="微软雅黑" w:hAnsi="微软雅黑" w:eastAsia="微软雅黑" w:cs="Times New Roman"/>
                <w:sz w:val="18"/>
                <w:szCs w:val="18"/>
              </w:rPr>
              <w:t>5</w:t>
            </w:r>
            <w:r>
              <w:rPr>
                <w:rFonts w:hint="eastAsia" w:ascii="微软雅黑" w:hAnsi="微软雅黑" w:eastAsia="微软雅黑" w:cs="Times New Roman"/>
                <w:sz w:val="18"/>
                <w:szCs w:val="18"/>
                <w:lang w:val="en-US" w:eastAsia="zh-CN"/>
              </w:rPr>
              <w:t>4</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5"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毛泽东思想和中国特色社会主义理论体系概论</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通过理论学习，使学生牢固树立“四个意识”，坚定“四个自信”，培养担当民族复兴大任的时代新人。</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毛泽东思想、邓小平理论、“三个代表”重要思想、科学发展观和习近平新时代中国特色社会主义思想。</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5"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1230" w:type="dxa"/>
            <w:vAlign w:val="center"/>
          </w:tcPr>
          <w:p>
            <w:pPr>
              <w:adjustRightInd w:val="0"/>
              <w:snapToGrid w:val="0"/>
              <w:spacing w:line="240" w:lineRule="atLeast"/>
              <w:jc w:val="center"/>
              <w:rPr>
                <w:rFonts w:ascii="微软雅黑" w:hAnsi="微软雅黑" w:eastAsia="微软雅黑" w:cs="Times New Roman"/>
                <w:b/>
                <w:bCs/>
                <w:sz w:val="18"/>
                <w:szCs w:val="18"/>
              </w:rPr>
            </w:pPr>
            <w:r>
              <w:rPr>
                <w:rFonts w:hint="eastAsia" w:ascii="微软雅黑" w:hAnsi="微软雅黑" w:eastAsia="微软雅黑" w:cs="Times New Roman"/>
                <w:sz w:val="18"/>
                <w:szCs w:val="18"/>
              </w:rPr>
              <w:t>思想道德与法治</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教育引导大学生提高思想道德素质与法治素养，为社会培养德才兼备的技术技能型人才。</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人生观、价值观、理想信念、爱国主义、道德观以及法律基础知识。</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3</w:t>
            </w:r>
          </w:p>
        </w:tc>
        <w:tc>
          <w:tcPr>
            <w:tcW w:w="992" w:type="dxa"/>
            <w:vAlign w:val="center"/>
          </w:tcPr>
          <w:p>
            <w:pPr>
              <w:overflowPunct w:val="0"/>
              <w:adjustRightInd w:val="0"/>
              <w:snapToGrid w:val="0"/>
              <w:spacing w:line="240" w:lineRule="atLeast"/>
              <w:jc w:val="center"/>
              <w:rPr>
                <w:rFonts w:hint="eastAsia" w:ascii="微软雅黑" w:hAnsi="微软雅黑" w:eastAsia="微软雅黑" w:cs="Times New Roman"/>
                <w:sz w:val="18"/>
                <w:szCs w:val="18"/>
                <w:lang w:eastAsia="zh-CN"/>
              </w:rPr>
            </w:pPr>
            <w:r>
              <w:rPr>
                <w:rFonts w:hint="eastAsia" w:ascii="微软雅黑" w:hAnsi="微软雅黑" w:eastAsia="微软雅黑" w:cs="Times New Roman"/>
                <w:sz w:val="18"/>
                <w:szCs w:val="18"/>
              </w:rPr>
              <w:t>5</w:t>
            </w:r>
            <w:r>
              <w:rPr>
                <w:rFonts w:hint="eastAsia" w:ascii="微软雅黑" w:hAnsi="微软雅黑" w:eastAsia="微软雅黑" w:cs="Times New Roman"/>
                <w:sz w:val="18"/>
                <w:szCs w:val="18"/>
                <w:lang w:val="en-US" w:eastAsia="zh-CN"/>
              </w:rPr>
              <w:t>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形势与政策</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培养学生分析问题、解决问题的能力，使学生能科学预测和准确把握形势与政策发展的客观规律。</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国内外重要时事。</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5</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大学英语</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提高学生英语听、说、阅、写的综合运用能力，增强学生英语翻译能力；学生在今后工作和社会交往中能用英语有效地进行口头和书面的信息交流。</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3400个英语单词，基本的英语语法规则，英语对话和陈述，实用口语，简短英文资料的阅读技巧，应用文题材作文技巧和相关词汇等。</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162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6</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信息技术</w:t>
            </w:r>
          </w:p>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基础</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学生掌握计算机的基本使用方法，具备计算思维及较强的计算机操作技能。</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计算机基本知识、上网基本常识、office办公软件操作。</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60</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7</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体育</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学生身体素质增强，并掌握基本运动技巧。</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基本身体素质训练，各运动项目、游泳技能。</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5</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114</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8</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大学生创新创业</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培育学生的创新创业精神和意识，初步掌握创新创业基本理论，孵化创业实践。</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创新创业时代背景、激发创新意识、培养创新思维、掌握创新方法</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7</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r>
              <w:rPr>
                <w:rFonts w:ascii="微软雅黑" w:hAnsi="微软雅黑" w:eastAsia="微软雅黑" w:cs="Times New Roman"/>
                <w:sz w:val="18"/>
                <w:szCs w:val="18"/>
              </w:rPr>
              <w:t>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9</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大学语文</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通过大学语文教育，使已具备高中语文程度的学生，进一步提高阅读能力和审美能力，提高文化素养，为学习高等教育各类专业课程、接受通才教育打下较为坚实基础</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ascii="微软雅黑" w:hAnsi="微软雅黑" w:eastAsia="微软雅黑" w:cs="Times New Roman"/>
                <w:sz w:val="18"/>
                <w:szCs w:val="18"/>
              </w:rPr>
              <w:t>《诗经》名篇赏析</w:t>
            </w:r>
            <w:r>
              <w:rPr>
                <w:rFonts w:hint="eastAsia" w:ascii="微软雅黑" w:hAnsi="微软雅黑" w:eastAsia="微软雅黑" w:cs="Times New Roman"/>
                <w:sz w:val="18"/>
                <w:szCs w:val="18"/>
              </w:rPr>
              <w:t>、《蜀道难》与李白的诗歌传奇解读、杜甫与《秋兴八首》解读、《长恨歌》解读、《念奴娇·赤壁怀古》解读、海子的文学作品解析、里尔克《豹》解析、摹写淋漓，悲咽可涕的《李将军列传》等</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K1</w:t>
            </w:r>
            <w:r>
              <w:rPr>
                <w:rFonts w:hint="eastAsia" w:ascii="微软雅黑" w:hAnsi="微软雅黑" w:eastAsia="微软雅黑" w:cs="Times New Roman"/>
                <w:sz w:val="18"/>
                <w:szCs w:val="18"/>
              </w:rPr>
              <w:t>、Q</w:t>
            </w:r>
            <w:r>
              <w:rPr>
                <w:rFonts w:ascii="微软雅黑" w:hAnsi="微软雅黑" w:eastAsia="微软雅黑" w:cs="Times New Roman"/>
                <w:sz w:val="18"/>
                <w:szCs w:val="18"/>
              </w:rPr>
              <w:t>4</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10</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劳动教育</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通过劳动教育使学生能够理解和形成马克思主义劳动观，牢固树立劳动最光荣、劳动最崇高、劳动最伟大、劳动最美丽的观念。</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进行劳动精神、劳模精神、工匠精神等专题教育吗，有目的、有计划地组织学生参加日常生活劳动、生产劳动和服务性劳动。让学生切实经历动手实践，出力流汗，接受锻炼，磨练意志。</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3</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72</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1</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大学生心理健康</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通过教学使学生明确心理健康标准，提高自我认知能力、人际交往能力和自我心理调节能力。学生掌握并应用心理健康知识完善健全自我人格，促进自我全面发展。</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心理健康的标准；如何培养健康的心理；当代大学生的心理特点；当代大学生健康心理的表现及自我修炼。</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5</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2</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职业发展与就业指导</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学生们能够确立正确的择业观和职业理想，转变就业观念，明确岗位要求、树立服务意识，促进学生心理健康成长，提升学生的就业竞争力，让学院毕业生就业率稳步提升，就业质量不断提高。</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职业生涯规划与职业探索，就业指导，角色认知与角色转换，创新创业认知。</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13</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3</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军事理论</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ascii="微软雅黑" w:hAnsi="微软雅黑" w:eastAsia="微软雅黑" w:cs="Times New Roman"/>
                <w:sz w:val="18"/>
                <w:szCs w:val="18"/>
              </w:rPr>
              <w:t>通过理论教学，使大学生掌握基本军事理论知识，达到增强国防观念和国家安全意识，强化爱国主义、集体主义观念，加强组织纪律性，促进大学生综合素质的提高。</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军事思想、中国国防、国际战略环境与国际安全、信息时代武器装备。</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bookmarkStart w:id="111" w:name="_Hlk26352094"/>
            <w:r>
              <w:rPr>
                <w:rFonts w:hint="eastAsia" w:ascii="微软雅黑" w:hAnsi="微软雅黑" w:eastAsia="微软雅黑" w:cs="Times New Roman"/>
                <w:sz w:val="18"/>
                <w:szCs w:val="18"/>
              </w:rPr>
              <w:t>1</w:t>
            </w:r>
            <w:r>
              <w:rPr>
                <w:rFonts w:ascii="微软雅黑" w:hAnsi="微软雅黑" w:eastAsia="微软雅黑" w:cs="Times New Roman"/>
                <w:sz w:val="18"/>
                <w:szCs w:val="18"/>
              </w:rPr>
              <w:t>4</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军事技能</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ascii="微软雅黑" w:hAnsi="微软雅黑" w:eastAsia="微软雅黑" w:cs="Times New Roman"/>
                <w:sz w:val="18"/>
                <w:szCs w:val="18"/>
              </w:rPr>
              <w:t>使学生掌握基本军事知识和技能</w:t>
            </w:r>
            <w:r>
              <w:rPr>
                <w:rFonts w:hint="eastAsia" w:ascii="微软雅黑" w:hAnsi="微软雅黑" w:eastAsia="微软雅黑" w:cs="Times New Roman"/>
                <w:sz w:val="18"/>
                <w:szCs w:val="18"/>
              </w:rPr>
              <w:t>，增强学生的组织纪律观念、培养艰苦奋斗的作风，提高学生的综合素质。</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中国人民解放军纪律条令；内务条令及内务整理；队列条令及队列训练。</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112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bookmarkEnd w:id="111"/>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5</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国家安全教育</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通过国家安全教育，使学生能够深入理解和准确把握总体国家安全观，牢固树立国家利益至上的观念，增强自觉维护国家安全意识，具备维护国家安全的能力。</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政治安全、国土安全、军事安全、经济安全、文化安全、社会安全、科技安全、网络安全、生态安全、资源安全、核安全、海外利益安全以及太空、深海、极地、生物等不断拓展的新型领域安全。</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36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6</w:t>
            </w:r>
          </w:p>
        </w:tc>
        <w:tc>
          <w:tcPr>
            <w:tcW w:w="1230"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高等数学</w:t>
            </w:r>
          </w:p>
        </w:tc>
        <w:tc>
          <w:tcPr>
            <w:tcW w:w="2453"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使学生具有抽象思维、逻辑推理、运算、分析、解决问题等多种能力，培养学生的数学应用意识为其今后的可持续发展奠定基础。</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函数、极限、微分中值定理、积分的基本概念、公式、微分方程。</w:t>
            </w:r>
          </w:p>
        </w:tc>
        <w:tc>
          <w:tcPr>
            <w:tcW w:w="993" w:type="dxa"/>
            <w:vAlign w:val="center"/>
          </w:tcPr>
          <w:p>
            <w:pPr>
              <w:overflowPunct w:val="0"/>
              <w:adjustRightInd w:val="0"/>
              <w:snapToGrid w:val="0"/>
              <w:spacing w:line="36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60</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专业限选</w:t>
            </w:r>
          </w:p>
        </w:tc>
      </w:tr>
      <w:bookmarkEnd w:id="109"/>
    </w:tbl>
    <w:p>
      <w:pPr>
        <w:numPr>
          <w:ilvl w:val="0"/>
          <w:numId w:val="2"/>
        </w:num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专业（技能）课程</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专业（技能）课程设置要与培养目标相适应，包括专业基础课程、专业核心课程（6-8门）、专业拓展课程及实践实习，需将思政教育全面融入专业课程。专业基础课、专业核心课、实践实习类课程设置及学时安排分别见表5、表6、表7。（课程目标描述不超过100字，主要内容描述不超过100字。）</w:t>
      </w:r>
    </w:p>
    <w:p>
      <w:pPr>
        <w:pStyle w:val="15"/>
        <w:adjustRightInd w:val="0"/>
        <w:snapToGrid w:val="0"/>
        <w:spacing w:before="0" w:after="0" w:line="500" w:lineRule="atLeast"/>
        <w:rPr>
          <w:rFonts w:ascii="微软雅黑" w:hAnsi="微软雅黑" w:eastAsia="微软雅黑"/>
          <w:color w:val="000099"/>
          <w:sz w:val="24"/>
          <w:szCs w:val="24"/>
        </w:rPr>
      </w:pPr>
      <w:bookmarkStart w:id="112" w:name="_Toc694"/>
      <w:bookmarkStart w:id="113" w:name="_Toc17105"/>
      <w:bookmarkStart w:id="114" w:name="_Toc41473122"/>
      <w:bookmarkStart w:id="115" w:name="_Toc18843"/>
      <w:bookmarkStart w:id="116" w:name="_Toc7474"/>
      <w:bookmarkStart w:id="117" w:name="_Toc41473424"/>
      <w:bookmarkStart w:id="118" w:name="_Hlk20236352"/>
      <w:bookmarkStart w:id="119" w:name="_Hlk20300914"/>
      <w:r>
        <w:rPr>
          <w:rFonts w:hint="eastAsia" w:ascii="微软雅黑" w:hAnsi="微软雅黑" w:eastAsia="微软雅黑"/>
          <w:color w:val="000099"/>
          <w:sz w:val="24"/>
          <w:szCs w:val="24"/>
        </w:rPr>
        <w:t>表</w:t>
      </w:r>
      <w:bookmarkStart w:id="120" w:name="_Hlk20300375"/>
      <w:r>
        <w:rPr>
          <w:rFonts w:hint="eastAsia" w:ascii="微软雅黑" w:hAnsi="微软雅黑" w:eastAsia="微软雅黑"/>
          <w:color w:val="000099"/>
          <w:sz w:val="24"/>
          <w:szCs w:val="24"/>
        </w:rPr>
        <w:t>5 专业基础课程设置及</w:t>
      </w:r>
      <w:bookmarkEnd w:id="120"/>
      <w:r>
        <w:rPr>
          <w:rFonts w:hint="eastAsia" w:ascii="微软雅黑" w:hAnsi="微软雅黑" w:eastAsia="微软雅黑"/>
          <w:color w:val="000099"/>
          <w:sz w:val="24"/>
          <w:szCs w:val="24"/>
        </w:rPr>
        <w:t>学时安排</w:t>
      </w:r>
      <w:bookmarkEnd w:id="112"/>
      <w:bookmarkEnd w:id="113"/>
      <w:bookmarkEnd w:id="114"/>
      <w:bookmarkEnd w:id="115"/>
      <w:bookmarkEnd w:id="116"/>
      <w:bookmarkEnd w:id="117"/>
    </w:p>
    <w:bookmarkEnd w:id="110"/>
    <w:bookmarkEnd w:id="118"/>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bookmarkStart w:id="121" w:name="_Hlk20300359"/>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电工电子技术基础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通过本课程的学习，初步了解飞机上的电子线路具备的特性并掌握调整、检测的方法，并具有一定的操作技能、电子线路图的阅读能力和小型模拟电子系统的分析能力、简单数字电子线路的看图和动手操作能力。</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电路基本知识和基本定律；磁路基本知识；正弦交流电；正弦电路的相量分析法；基本电路的分析与设计。简单电子电路的安装、分析、调试；电子线路图的阅读能力和小型模拟电子系统的分析。集成逻辑门、译码器、触发器、计数器、555时基电路的使用；简单数字电子线路的试图。</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实践是检验真理的唯一标准</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2</w:t>
            </w:r>
            <w:r>
              <w:rPr>
                <w:rFonts w:hint="eastAsia" w:ascii="微软雅黑" w:hAnsi="微软雅黑" w:eastAsia="微软雅黑" w:cs="Times New Roman"/>
                <w:sz w:val="18"/>
                <w:szCs w:val="18"/>
              </w:rPr>
              <w:t>、S</w:t>
            </w:r>
            <w:r>
              <w:rPr>
                <w:rFonts w:ascii="微软雅黑" w:hAnsi="微软雅黑" w:eastAsia="微软雅黑" w:cs="Times New Roman"/>
                <w:sz w:val="18"/>
                <w:szCs w:val="18"/>
              </w:rPr>
              <w:t>3</w:t>
            </w:r>
          </w:p>
        </w:tc>
        <w:tc>
          <w:tcPr>
            <w:tcW w:w="528" w:type="dxa"/>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sz w:val="20"/>
                <w:szCs w:val="20"/>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机械制图</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通过教学使学生具备机械制图读图和画图的基本技能。</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机械制图读图和画图的基本技能。</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事情多面性</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2</w:t>
            </w:r>
            <w:r>
              <w:rPr>
                <w:rFonts w:hint="eastAsia" w:ascii="微软雅黑" w:hAnsi="微软雅黑" w:eastAsia="微软雅黑" w:cs="Times New Roman"/>
                <w:sz w:val="18"/>
                <w:szCs w:val="18"/>
              </w:rPr>
              <w:t>、S</w:t>
            </w:r>
            <w:r>
              <w:rPr>
                <w:rFonts w:ascii="微软雅黑" w:hAnsi="微软雅黑" w:eastAsia="微软雅黑" w:cs="Times New Roman"/>
                <w:sz w:val="18"/>
                <w:szCs w:val="18"/>
              </w:rPr>
              <w:t>3</w:t>
            </w:r>
          </w:p>
        </w:tc>
        <w:tc>
          <w:tcPr>
            <w:tcW w:w="528" w:type="dxa"/>
            <w:vAlign w:val="center"/>
          </w:tcPr>
          <w:p>
            <w:pPr>
              <w:jc w:val="center"/>
              <w:rPr>
                <w:rFonts w:ascii="微软雅黑" w:hAnsi="微软雅黑" w:eastAsia="微软雅黑"/>
                <w:sz w:val="20"/>
                <w:szCs w:val="20"/>
              </w:rPr>
            </w:pPr>
            <w:r>
              <w:rPr>
                <w:rFonts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机械基础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使学生掌握常用机构、机械传动和通用机械零件的基本知识；分析机械工作原理的基本方法。</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常用机构、机械传动和通用机械零件的基本知识；分析机械工作原理的基本方法。</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设计创新</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3</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航空概论</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使学生了解飞机发展史、掌握飞机结构部件和飞行基本原理。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飞机发展史、飞机结构部件和飞行基本原理。</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把握行业历史、现状和未来发展方向</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4</w:t>
            </w:r>
            <w:r>
              <w:rPr>
                <w:rFonts w:hint="eastAsia" w:ascii="微软雅黑" w:hAnsi="微软雅黑" w:eastAsia="微软雅黑" w:cs="Times New Roman"/>
                <w:sz w:val="18"/>
                <w:szCs w:val="18"/>
              </w:rPr>
              <w:t>、</w:t>
            </w:r>
            <w:r>
              <w:rPr>
                <w:rFonts w:ascii="微软雅黑" w:hAnsi="微软雅黑" w:eastAsia="微软雅黑" w:cs="Times New Roman"/>
                <w:sz w:val="18"/>
                <w:szCs w:val="18"/>
              </w:rPr>
              <w:t>K5</w:t>
            </w:r>
            <w:r>
              <w:rPr>
                <w:rFonts w:hint="eastAsia" w:ascii="微软雅黑" w:hAnsi="微软雅黑" w:eastAsia="微软雅黑" w:cs="Times New Roman"/>
                <w:sz w:val="18"/>
                <w:szCs w:val="18"/>
              </w:rPr>
              <w:t>、</w:t>
            </w:r>
            <w:r>
              <w:rPr>
                <w:rFonts w:ascii="微软雅黑" w:hAnsi="微软雅黑" w:eastAsia="微软雅黑" w:cs="Times New Roman"/>
                <w:sz w:val="18"/>
                <w:szCs w:val="18"/>
              </w:rPr>
              <w:t>K13</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适航与法规</w:t>
            </w:r>
            <w:r>
              <w:rPr>
                <w:rFonts w:hint="eastAsia" w:ascii="微软雅黑" w:hAnsi="微软雅黑" w:eastAsia="微软雅黑" w:cs="Times New Roman"/>
                <w:sz w:val="18"/>
                <w:szCs w:val="18"/>
              </w:rPr>
              <w:t>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使学生了解适航管理的由来</w:t>
            </w:r>
            <w:r>
              <w:rPr>
                <w:rFonts w:hint="eastAsia" w:ascii="微软雅黑" w:hAnsi="微软雅黑" w:eastAsia="微软雅黑" w:cs="Times New Roman"/>
                <w:sz w:val="18"/>
                <w:szCs w:val="18"/>
              </w:rPr>
              <w:t>，I</w:t>
            </w:r>
            <w:r>
              <w:rPr>
                <w:rFonts w:ascii="微软雅黑" w:hAnsi="微软雅黑" w:eastAsia="微软雅黑" w:cs="Times New Roman"/>
                <w:sz w:val="18"/>
                <w:szCs w:val="18"/>
              </w:rPr>
              <w:t>CAO</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w:t>
            </w:r>
            <w:r>
              <w:rPr>
                <w:rFonts w:hint="eastAsia" w:ascii="微软雅黑" w:hAnsi="微软雅黑" w:eastAsia="微软雅黑" w:cs="Times New Roman"/>
                <w:sz w:val="18"/>
                <w:szCs w:val="18"/>
              </w:rPr>
              <w:t>、</w:t>
            </w:r>
            <w:r>
              <w:rPr>
                <w:rFonts w:ascii="微软雅黑" w:hAnsi="微软雅黑" w:eastAsia="微软雅黑" w:cs="Times New Roman"/>
                <w:sz w:val="18"/>
                <w:szCs w:val="18"/>
              </w:rPr>
              <w:t>EASA</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FAA组织体系</w:t>
            </w:r>
            <w:r>
              <w:rPr>
                <w:rFonts w:hint="eastAsia" w:ascii="微软雅黑" w:hAnsi="微软雅黑" w:eastAsia="微软雅黑" w:cs="Times New Roman"/>
                <w:sz w:val="18"/>
                <w:szCs w:val="18"/>
              </w:rPr>
              <w:t>，</w:t>
            </w:r>
            <w:r>
              <w:rPr>
                <w:rFonts w:ascii="微软雅黑" w:hAnsi="微软雅黑" w:eastAsia="微软雅黑" w:cs="Times New Roman"/>
                <w:sz w:val="18"/>
                <w:szCs w:val="18"/>
              </w:rPr>
              <w:t>了解适航法律和规章</w:t>
            </w:r>
            <w:r>
              <w:rPr>
                <w:rFonts w:hint="eastAsia" w:ascii="微软雅黑" w:hAnsi="微软雅黑" w:eastAsia="微软雅黑" w:cs="Times New Roman"/>
                <w:sz w:val="18"/>
                <w:szCs w:val="18"/>
              </w:rPr>
              <w:t>。</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适航管理的</w:t>
            </w:r>
            <w:r>
              <w:rPr>
                <w:rFonts w:hint="eastAsia" w:ascii="微软雅黑" w:hAnsi="微软雅黑" w:eastAsia="微软雅黑" w:cs="Times New Roman"/>
                <w:sz w:val="18"/>
                <w:szCs w:val="18"/>
              </w:rPr>
              <w:t>起源和发展，I</w:t>
            </w:r>
            <w:r>
              <w:rPr>
                <w:rFonts w:ascii="微软雅黑" w:hAnsi="微软雅黑" w:eastAsia="微软雅黑" w:cs="Times New Roman"/>
                <w:sz w:val="18"/>
                <w:szCs w:val="18"/>
              </w:rPr>
              <w:t>CAO</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w:t>
            </w:r>
            <w:r>
              <w:rPr>
                <w:rFonts w:hint="eastAsia" w:ascii="微软雅黑" w:hAnsi="微软雅黑" w:eastAsia="微软雅黑" w:cs="Times New Roman"/>
                <w:sz w:val="18"/>
                <w:szCs w:val="18"/>
              </w:rPr>
              <w:t>、</w:t>
            </w:r>
            <w:r>
              <w:rPr>
                <w:rFonts w:ascii="微软雅黑" w:hAnsi="微软雅黑" w:eastAsia="微软雅黑" w:cs="Times New Roman"/>
                <w:sz w:val="18"/>
                <w:szCs w:val="18"/>
              </w:rPr>
              <w:t>EASA</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FAA组织体系</w:t>
            </w:r>
            <w:r>
              <w:rPr>
                <w:rFonts w:hint="eastAsia" w:ascii="微软雅黑" w:hAnsi="微软雅黑" w:eastAsia="微软雅黑" w:cs="Times New Roman"/>
                <w:sz w:val="18"/>
                <w:szCs w:val="18"/>
              </w:rPr>
              <w:t>，</w:t>
            </w:r>
            <w:r>
              <w:rPr>
                <w:rFonts w:ascii="微软雅黑" w:hAnsi="微软雅黑" w:eastAsia="微软雅黑" w:cs="Times New Roman"/>
                <w:sz w:val="18"/>
                <w:szCs w:val="18"/>
              </w:rPr>
              <w:t>中国民航法律和规章</w:t>
            </w:r>
            <w:r>
              <w:rPr>
                <w:rFonts w:hint="eastAsia" w:ascii="微软雅黑" w:hAnsi="微软雅黑" w:eastAsia="微软雅黑" w:cs="Times New Roman"/>
                <w:sz w:val="18"/>
                <w:szCs w:val="18"/>
              </w:rPr>
              <w:t>。</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航空体系管理思想</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10</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12</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空气动力学基础与飞行原理</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使学生了解大气参数对飞行的影响；掌握飞机的气动外形及飞机的稳定性和操纵性。</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大气的主要参数以及对飞行的影响；飞机的气动外形及稳定性和操纵性；对空气动力学现象进行理论分析的能力。</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事物相对性</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6</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7</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飞机结构基础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使学生了解飞机结构及部件位置、工作原理，具备较强的民航法规及民航标准意识。掌握航空材料的种类、作用；飞机结构的腐蚀与防护方法；无损检测的方法。</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身结构、机翼结构、尾翼结构、起落架结构及部件位置、工作原理；飞机结构件典型维修工作；较强的民航法规及民航标准意识。航空材料、金属腐蚀和机体防腐措施、飞机的称重与平衡、无损检测方法、飞机结构腐蚀与防护。</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事物的运动性</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3</w:t>
            </w:r>
            <w:r>
              <w:rPr>
                <w:rFonts w:hint="eastAsia" w:ascii="微软雅黑" w:hAnsi="微软雅黑" w:eastAsia="微软雅黑" w:cs="Times New Roman"/>
                <w:sz w:val="18"/>
                <w:szCs w:val="18"/>
              </w:rPr>
              <w:t>、K</w:t>
            </w:r>
            <w:r>
              <w:rPr>
                <w:rFonts w:ascii="微软雅黑" w:hAnsi="微软雅黑" w:eastAsia="微软雅黑" w:cs="Times New Roman"/>
                <w:sz w:val="18"/>
                <w:szCs w:val="18"/>
              </w:rPr>
              <w:t>7</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60</w:t>
            </w:r>
          </w:p>
        </w:tc>
      </w:tr>
      <w:bookmarkEnd w:id="119"/>
      <w:bookmarkEnd w:id="121"/>
    </w:tbl>
    <w:p>
      <w:pPr>
        <w:pStyle w:val="15"/>
        <w:adjustRightInd w:val="0"/>
        <w:snapToGrid w:val="0"/>
        <w:spacing w:before="0" w:after="0" w:line="500" w:lineRule="atLeast"/>
        <w:rPr>
          <w:rFonts w:ascii="微软雅黑" w:hAnsi="微软雅黑" w:eastAsia="微软雅黑"/>
          <w:color w:val="000099"/>
          <w:sz w:val="24"/>
          <w:szCs w:val="24"/>
        </w:rPr>
      </w:pPr>
      <w:bookmarkStart w:id="122" w:name="_Toc575"/>
      <w:bookmarkStart w:id="123" w:name="_Toc1626"/>
      <w:bookmarkStart w:id="124" w:name="_Toc30192"/>
      <w:bookmarkStart w:id="125" w:name="_Toc41473123"/>
      <w:bookmarkStart w:id="126" w:name="_Toc13460"/>
      <w:bookmarkStart w:id="127" w:name="_Toc41473425"/>
      <w:r>
        <w:rPr>
          <w:rFonts w:hint="eastAsia" w:ascii="微软雅黑" w:hAnsi="微软雅黑" w:eastAsia="微软雅黑"/>
          <w:color w:val="000099"/>
          <w:sz w:val="24"/>
          <w:szCs w:val="24"/>
        </w:rPr>
        <w:t>表6 专业核心课程设置及学时安排</w:t>
      </w:r>
      <w:bookmarkEnd w:id="122"/>
      <w:bookmarkEnd w:id="123"/>
      <w:bookmarkEnd w:id="124"/>
      <w:bookmarkEnd w:id="125"/>
      <w:bookmarkEnd w:id="126"/>
      <w:bookmarkEnd w:id="127"/>
    </w:p>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航空涡轮发动机原理与结构</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使学生掌握发动机性能参数及影响因素；掌握发动机原始图文的阅读技巧，能够快速读懂系统原理图。</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航空燃气涡轮发动机的基本概念、工作原理和构造，发动机主要部件和工作系统的基本概念、工作原理和构造。</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我国航空制造业的短板</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9</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widowControl/>
              <w:spacing w:line="240" w:lineRule="exact"/>
              <w:jc w:val="center"/>
              <w:rPr>
                <w:rFonts w:ascii="微软雅黑" w:hAnsi="微软雅黑" w:eastAsia="微软雅黑" w:cs="宋体"/>
                <w:color w:val="000000"/>
                <w:kern w:val="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航空涡轮发动机系统与维护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掌握发动机相关的热力学和气体动力学基础理论，航空发动机类型和原理知识; 对于给定的动力装置部件或系统，能使用技术资料查找其功用、位置和工作过程。</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发动机系统的基本组成、功用和工作过程；各系统组成部件的功用和安装位置；飞机维修资料体系，AMM手册中动力装置的章节、描述内容、工作内容和工作程序；较强的民航法规及民航标准意识；安全责任意识及团队合作精神。</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我国大飞机自主动力C</w:t>
            </w:r>
            <w:r>
              <w:rPr>
                <w:rFonts w:ascii="微软雅黑" w:hAnsi="微软雅黑" w:eastAsia="微软雅黑" w:cs="Times New Roman"/>
                <w:sz w:val="18"/>
                <w:szCs w:val="18"/>
              </w:rPr>
              <w:t>J1000</w:t>
            </w:r>
            <w:r>
              <w:rPr>
                <w:rFonts w:hint="eastAsia" w:ascii="微软雅黑" w:hAnsi="微软雅黑" w:eastAsia="微软雅黑" w:cs="Times New Roman"/>
                <w:sz w:val="18"/>
                <w:szCs w:val="18"/>
              </w:rPr>
              <w:t>进展</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9</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飞机机械系统与维护1</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使学生掌握液压系统、燃油系统、起落架系统的基本组成及工作原理。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飞机的液压系统、燃油系统、起落架系统等的基本组成、部件位置、部件功用、工作原理；飞机结构和各机械系统的一般勤务；飞机维修资料体系。</w:t>
            </w:r>
            <w:r>
              <w:rPr>
                <w:rFonts w:ascii="微软雅黑" w:hAnsi="微软雅黑" w:eastAsia="微软雅黑" w:cs="Times New Roman"/>
                <w:sz w:val="18"/>
                <w:szCs w:val="18"/>
              </w:rPr>
              <w:t xml:space="preserve"> </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系统发展历程、现状、趋势</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ascii="微软雅黑" w:hAnsi="微软雅黑" w:eastAsia="微软雅黑"/>
                <w:color w:val="000000"/>
                <w:sz w:val="20"/>
                <w:szCs w:val="20"/>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飞机机械系统与维护2</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使学生掌握飞行操纵系统、空调系统、设备/设施、水/污水系统等系统的基本组成及工作原理；具备较强的民航法规及民航标准意识。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飞行操纵系统、空调系统、设备/设施、水/污水系统等系统的基本组成、部件位置、部件功用、工作原理； AMM手册中机械系统的章节、描述内容、工作内容和工作程序。</w:t>
            </w:r>
            <w:r>
              <w:rPr>
                <w:rFonts w:ascii="微软雅黑" w:hAnsi="微软雅黑" w:eastAsia="微软雅黑" w:cs="Times New Roman"/>
                <w:sz w:val="18"/>
                <w:szCs w:val="18"/>
              </w:rPr>
              <w:t xml:space="preserve"> </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事物发展的本质</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飞机电气部件</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使学生掌握飞机电气器件及飞机电气各系统的功用及工作原理；能够依据工作单完成导航系统的日常维护工作；并能够对一些简单故障进行检查、分析及排除。</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飞机常见电气器件的基本知识；电机知识；飞机电源系统、灯光系统的功用、组成及部件位置；一定的线路分析能力；飞机电气系统常见故障的分析和判断能力。</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余度设计理念</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飞机电气系统与维护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使学生掌握飞机电气器件及飞机电气各系统的功用及工作原理；了解飞机排故的基本方法，培养其较强的民航标准意识和安全责任意识。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飞机氧气系统、灭火系统、防冰排雨系统的功用、组成及部件位置；一定的线路分析能力；较强的民航法规及民航标准意识；安全责任意识及团队合作精神。</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事件应急预案和处置</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7</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飞机电子系统与维护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使学生掌握飞机电子各功能系统的基本组成、功用及工作原理；能够对一些简单故障进行分析及排除；具备民航标准意识和安全责任意识。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飞机电子各功能系统的基本组成、功用、显示状态、工作原理及在飞机上的安装位置等知识，并能够对飞机电子各系统进行维修，能够对一些简单故障进行分析及排除。</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电子信息化的发展趋势，科技是第一生产力</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8</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航空维修技术英语1</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使学生掌握机务相关手册使用和查询的能力；并使学生对西方飞机技术文件体系有全面而系统的认识，能够看懂英文机务资料。</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机务相关手册使用和查询的能力，对西方飞机技术文件体系有全面而系统的认识，能够看懂英文机务资料。</w:t>
            </w:r>
          </w:p>
        </w:tc>
        <w:tc>
          <w:tcPr>
            <w:tcW w:w="1134"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科学技术全球化，科学研究应该具备国际视野</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2</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9</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航空维修技术英语</w:t>
            </w:r>
            <w:r>
              <w:rPr>
                <w:rFonts w:ascii="微软雅黑" w:hAnsi="微软雅黑" w:eastAsia="微软雅黑" w:cs="Times New Roman"/>
                <w:sz w:val="18"/>
                <w:szCs w:val="18"/>
              </w:rPr>
              <w:t>2</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使学生掌握机务相关手册使用和查询的能力；并使学生对西方飞机技术文件体系有全面而系统的认识，能够看懂英文机务资料。</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机务相关手册使用和查询的能力，对西方飞机技术文件体系有全面而系统的认识，能够看懂英文机务资料。</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职业的发展规划</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2</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7</w:t>
            </w:r>
            <w:r>
              <w:rPr>
                <w:rFonts w:ascii="微软雅黑" w:hAnsi="微软雅黑" w:eastAsia="微软雅黑"/>
                <w:color w:val="000000"/>
                <w:sz w:val="20"/>
                <w:szCs w:val="20"/>
              </w:rPr>
              <w:t>2</w:t>
            </w:r>
          </w:p>
        </w:tc>
      </w:tr>
    </w:tbl>
    <w:p/>
    <w:p>
      <w:pPr>
        <w:pStyle w:val="15"/>
        <w:adjustRightInd w:val="0"/>
        <w:snapToGrid w:val="0"/>
        <w:spacing w:before="0" w:after="0" w:line="500" w:lineRule="atLeast"/>
        <w:rPr>
          <w:rFonts w:ascii="微软雅黑" w:hAnsi="微软雅黑" w:eastAsia="微软雅黑"/>
          <w:color w:val="000099"/>
          <w:sz w:val="24"/>
          <w:szCs w:val="24"/>
        </w:rPr>
      </w:pPr>
      <w:bookmarkStart w:id="128" w:name="_Toc18905"/>
      <w:bookmarkStart w:id="129" w:name="_Toc15632"/>
      <w:bookmarkStart w:id="130" w:name="_Toc1693"/>
      <w:bookmarkStart w:id="131" w:name="_Toc26439360"/>
      <w:bookmarkStart w:id="132" w:name="_Toc41473124"/>
      <w:bookmarkStart w:id="133" w:name="_Toc41473426"/>
      <w:bookmarkStart w:id="134" w:name="_Toc7737"/>
      <w:bookmarkStart w:id="135" w:name="_Toc26439609"/>
      <w:bookmarkStart w:id="136" w:name="_Hlk26733561"/>
      <w:bookmarkStart w:id="137" w:name="_Hlk26734545"/>
      <w:bookmarkStart w:id="138" w:name="_Toc20556084"/>
      <w:r>
        <w:rPr>
          <w:rFonts w:hint="eastAsia" w:ascii="微软雅黑" w:hAnsi="微软雅黑" w:eastAsia="微软雅黑"/>
          <w:color w:val="000099"/>
          <w:sz w:val="24"/>
          <w:szCs w:val="24"/>
        </w:rPr>
        <w:t>表7 实践实习课程设置及学时安排</w:t>
      </w:r>
      <w:bookmarkEnd w:id="128"/>
      <w:bookmarkEnd w:id="129"/>
      <w:bookmarkEnd w:id="130"/>
      <w:bookmarkEnd w:id="131"/>
      <w:bookmarkEnd w:id="132"/>
      <w:bookmarkEnd w:id="133"/>
      <w:bookmarkEnd w:id="134"/>
      <w:bookmarkEnd w:id="135"/>
    </w:p>
    <w:bookmarkEnd w:id="136"/>
    <w:bookmarkEnd w:id="137"/>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bookmarkStart w:id="139" w:name="_Toc27233233"/>
            <w:bookmarkStart w:id="140" w:name="_Toc18556"/>
            <w:bookmarkStart w:id="141" w:name="_Toc21129"/>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航空器维修基本技能实践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具备飞机维修安全意识，能够实施安全防护。掌握飞机维修通用技能和飞机机械维修基本技能，能够完成维修过程中的基本操作。</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安全规章、维修人员安全与防护、维修操作规范、防火安全、用电安全、发动机危险区域和安全通道；量具、工具的使用、保养和管理；计量器具的有效期及识别；常见化工品、易燃材料的领用、使用、存放和注意事项；航空紧固件拆装与保险；硬管软管施工；传动部件拆装、检查与校装；密封、涂胶与防腐；运动部件润滑。</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作业安全</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4</w:t>
            </w:r>
            <w:r>
              <w:rPr>
                <w:rFonts w:hint="eastAsia" w:ascii="微软雅黑" w:hAnsi="微软雅黑" w:eastAsia="微软雅黑" w:cs="Times New Roman"/>
                <w:sz w:val="18"/>
                <w:szCs w:val="18"/>
              </w:rPr>
              <w:t>、S</w:t>
            </w:r>
            <w:r>
              <w:rPr>
                <w:rFonts w:ascii="微软雅黑" w:hAnsi="微软雅黑" w:eastAsia="微软雅黑" w:cs="Times New Roman"/>
                <w:sz w:val="18"/>
                <w:szCs w:val="18"/>
              </w:rPr>
              <w:t>5</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6</w:t>
            </w:r>
            <w:r>
              <w:rPr>
                <w:rFonts w:hint="eastAsia" w:ascii="微软雅黑" w:hAnsi="微软雅黑" w:eastAsia="微软雅黑"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飞机手册使用实践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了解飞机手册体系与功能、各手册结构与内容分布，掌握飞机手册使用基本技能，能够查阅维修所需资料。</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ATA技术规范、飞机常用手册与文件分类及其有效性； AMM手册讲解与使用方法；WDM和IPC手册讲解和使用方法；适航指令、服务通告、MEL 等常用维修资料的基本内容、框架和使用方法；工作单的使用与九字方针。</w:t>
            </w:r>
          </w:p>
        </w:tc>
        <w:tc>
          <w:tcPr>
            <w:tcW w:w="1134"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法治社会、法治民航</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S5</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14</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S15</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S16</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3</w:t>
            </w:r>
            <w:r>
              <w:rPr>
                <w:rFonts w:hint="eastAsia" w:ascii="微软雅黑" w:hAnsi="微软雅黑" w:eastAsia="微软雅黑"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飞机结构修理实践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掌握飞机结构腐蚀处理和破损修补基本技能，能够完成飞机外形缺损与结构损伤修理。</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剪板机、折弯机、气钻、铆枪等安全操作，车间的安全防护知识；飞机结构修理常用工具和量具的使用；飞机结构损伤修理；飞机结构腐蚀处理与防护；钣件及折弯尺寸计算；支座组合件铆装；口盖间隙修合；沉头、半圆头铆钉正、反铆接技能；支座密封铆接。</w:t>
            </w:r>
          </w:p>
        </w:tc>
        <w:tc>
          <w:tcPr>
            <w:tcW w:w="1134"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精益求精</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S15</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S16</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178"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飞机标准线路施工实践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掌握飞机电气设备维修基本技能，能够完成飞机线路的修理。</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万用表、毫欧表、兆欧表、示波器等设备的使用；静电敏感</w:t>
            </w:r>
          </w:p>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元器件/部件的防护；线路通路和绝缘电阻的测量；标准线路施工手册（SWPM）的使用以及与A</w:t>
            </w:r>
            <w:r>
              <w:rPr>
                <w:rFonts w:ascii="微软雅黑" w:hAnsi="微软雅黑" w:eastAsia="微软雅黑" w:cs="Times New Roman"/>
                <w:sz w:val="18"/>
                <w:szCs w:val="18"/>
              </w:rPr>
              <w:t>MM</w:t>
            </w:r>
            <w:r>
              <w:rPr>
                <w:rFonts w:hint="eastAsia" w:ascii="微软雅黑" w:hAnsi="微软雅黑" w:eastAsia="微软雅黑" w:cs="Times New Roman"/>
                <w:sz w:val="18"/>
                <w:szCs w:val="18"/>
              </w:rPr>
              <w:t>、W</w:t>
            </w:r>
            <w:r>
              <w:rPr>
                <w:rFonts w:ascii="微软雅黑" w:hAnsi="微软雅黑" w:eastAsia="微软雅黑" w:cs="Times New Roman"/>
                <w:sz w:val="18"/>
                <w:szCs w:val="18"/>
              </w:rPr>
              <w:t>DM</w:t>
            </w:r>
            <w:r>
              <w:rPr>
                <w:rFonts w:hint="eastAsia" w:ascii="微软雅黑" w:hAnsi="微软雅黑" w:eastAsia="微软雅黑" w:cs="Times New Roman"/>
                <w:sz w:val="18"/>
                <w:szCs w:val="18"/>
              </w:rPr>
              <w:t>手册交叉查询；电气设备、导线类型与捆扎、支撑、防护、绝缘、屏蔽、接地、拼接、插头与插座等标准施工。</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标准</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6</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S13</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5</w:t>
            </w:r>
          </w:p>
        </w:tc>
        <w:tc>
          <w:tcPr>
            <w:tcW w:w="1178"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飞机航线勤务综合实践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掌握飞机航线地面勤务技能与系统勤务技能，具备接送飞机进出港能力与飞机航线维护能力。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飞机进出港指挥、飞机牵引、无线电通话术语、空地中英文联络通话、飞机监护与试车警戒、飞机地面电源气源勤务等地面勤务工作；飞机油水勤务、轮胎勤务、驾驶舱清洁、风挡清洁、减震镜面与轮毂盖清洁、发动机进气整流罩清洁、飞机舱门盖板开关、飞机停放与系留等系统勤务；飞机意外情况应急处置。</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作业程序</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S7</w:t>
            </w:r>
            <w:r>
              <w:rPr>
                <w:rFonts w:hint="eastAsia" w:ascii="微软雅黑" w:hAnsi="微软雅黑" w:eastAsia="微软雅黑" w:cs="Times New Roman"/>
                <w:sz w:val="18"/>
                <w:szCs w:val="18"/>
              </w:rPr>
              <w:t>、S</w:t>
            </w:r>
            <w:r>
              <w:rPr>
                <w:rFonts w:ascii="微软雅黑" w:hAnsi="微软雅黑" w:eastAsia="微软雅黑" w:cs="Times New Roman"/>
                <w:sz w:val="18"/>
                <w:szCs w:val="18"/>
              </w:rPr>
              <w:t>8</w:t>
            </w:r>
            <w:r>
              <w:rPr>
                <w:rFonts w:hint="eastAsia" w:ascii="微软雅黑" w:hAnsi="微软雅黑" w:eastAsia="微软雅黑" w:cs="Times New Roman"/>
                <w:sz w:val="18"/>
                <w:szCs w:val="18"/>
              </w:rPr>
              <w:t>、S</w:t>
            </w:r>
            <w:r>
              <w:rPr>
                <w:rFonts w:ascii="微软雅黑" w:hAnsi="微软雅黑" w:eastAsia="微软雅黑" w:cs="Times New Roman"/>
                <w:sz w:val="18"/>
                <w:szCs w:val="18"/>
              </w:rPr>
              <w:t>9</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10</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6</w:t>
            </w:r>
          </w:p>
        </w:tc>
        <w:tc>
          <w:tcPr>
            <w:tcW w:w="1178"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航线例行工作综合实践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掌握飞机航线绕机检查技能，具备飞机航线例行检查维修能力。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航线绕机检查外部区域部件识别，可能出现的螺钉松脱丢失、蒙皮凹坑划伤、鸟击、雷击等损伤并进行判断；驾驶舱灯光、面板、跳开关、按钮、操纵杆等介绍与检查；客舱座椅、服务设备、应急设备等检查；工作单签署，CLB、TLB、FLB的填写规范，适航批准标签的识别与检查。</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严谨、细致</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9</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20</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r>
              <w:rPr>
                <w:rFonts w:ascii="微软雅黑" w:hAnsi="微软雅黑" w:eastAsia="微软雅黑" w:cs="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7</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航线非例行工作综合实践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掌握飞机航线定检、特检、测试及调节等N</w:t>
            </w:r>
            <w:r>
              <w:rPr>
                <w:rFonts w:ascii="微软雅黑" w:hAnsi="微软雅黑" w:eastAsia="微软雅黑" w:cs="Times New Roman"/>
                <w:sz w:val="18"/>
                <w:szCs w:val="18"/>
              </w:rPr>
              <w:t>RC</w:t>
            </w:r>
            <w:r>
              <w:rPr>
                <w:rFonts w:hint="eastAsia" w:ascii="微软雅黑" w:hAnsi="微软雅黑" w:eastAsia="微软雅黑" w:cs="Times New Roman"/>
                <w:sz w:val="18"/>
                <w:szCs w:val="18"/>
              </w:rPr>
              <w:t>工作技能，具备一定的飞机航线非例行检查维修能力。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目视检测类工卡工作；鸟击、雷击、颠簸、重着陆等特检工作；A320周检或B</w:t>
            </w:r>
            <w:r>
              <w:rPr>
                <w:rFonts w:ascii="微软雅黑" w:hAnsi="微软雅黑" w:eastAsia="微软雅黑" w:cs="Times New Roman"/>
                <w:sz w:val="18"/>
                <w:szCs w:val="18"/>
              </w:rPr>
              <w:t>737A</w:t>
            </w:r>
            <w:r>
              <w:rPr>
                <w:rFonts w:hint="eastAsia" w:ascii="微软雅黑" w:hAnsi="微软雅黑" w:eastAsia="微软雅黑" w:cs="Times New Roman"/>
                <w:sz w:val="18"/>
                <w:szCs w:val="18"/>
              </w:rPr>
              <w:t>检常规工作；功能测试、系统测试、操作测试、自检测试等测试工作；飞机部件调节工作。</w:t>
            </w:r>
          </w:p>
        </w:tc>
        <w:tc>
          <w:tcPr>
            <w:tcW w:w="1134" w:type="dxa"/>
            <w:vAlign w:val="center"/>
          </w:tcPr>
          <w:p>
            <w:pPr>
              <w:widowControl/>
              <w:spacing w:line="0" w:lineRule="atLeast"/>
              <w:jc w:val="center"/>
              <w:rPr>
                <w:rFonts w:ascii="微软雅黑" w:hAnsi="微软雅黑" w:eastAsia="微软雅黑" w:cs="Times New Roman"/>
                <w:sz w:val="18"/>
                <w:szCs w:val="18"/>
              </w:rPr>
            </w:pP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11</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12</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14</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15</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16</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8</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故障诊断与排除综合实践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了解飞机航线故障处理程序，能够对飞机的典型故障进行初步的诊断，具备一定的飞机航线维修能力。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排故的意义与排故的流程；故障测试或量线判断故障，结合系统原理制定排故方案，拆装更换相关部件；缺陷损伤报告、使用手册进行缺陷处理，外形缺陷清单填写与记录；MEL、CDL放行，FC、DD办理。</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迅速、准确</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13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14</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15</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16</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17</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19</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21</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9</w:t>
            </w:r>
          </w:p>
        </w:tc>
        <w:tc>
          <w:tcPr>
            <w:tcW w:w="1178"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航线维修</w:t>
            </w:r>
          </w:p>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岗位实习</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了解企业规章制度，掌握作业规范，适应岗位工作环境及工作强度，能够完成实际生产任务，履行岗位职责，具备胜任飞机航线维修岗位工作的能力。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安全培训；民航规章与民用航空器行业标准培训；人为因素培训；质量管理体系介绍；工程数据管理系统的使用；手册与工作程序培训；维修实作基本技能带教；维修实作勤务维护项目带教；维修实作检查维修项目带教。</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敬畏生命、敬畏规章、敬畏职责</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22</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24</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r>
              <w:rPr>
                <w:rFonts w:ascii="微软雅黑" w:hAnsi="微软雅黑" w:eastAsia="微软雅黑" w:cs="Times New Roman"/>
                <w:sz w:val="18"/>
                <w:szCs w:val="18"/>
              </w:rPr>
              <w:t>80</w:t>
            </w:r>
          </w:p>
        </w:tc>
      </w:tr>
    </w:tbl>
    <w:p>
      <w:pPr>
        <w:numPr>
          <w:ilvl w:val="0"/>
          <w:numId w:val="2"/>
        </w:numPr>
        <w:overflowPunct w:val="0"/>
        <w:adjustRightInd w:val="0"/>
        <w:snapToGrid w:val="0"/>
        <w:spacing w:line="500" w:lineRule="exact"/>
        <w:ind w:firstLine="480" w:firstLineChars="200"/>
        <w:rPr>
          <w:rFonts w:ascii="微软雅黑" w:hAnsi="微软雅黑" w:eastAsia="微软雅黑" w:cs="微软雅黑"/>
          <w:b/>
          <w:sz w:val="24"/>
          <w:szCs w:val="24"/>
        </w:rPr>
      </w:pPr>
      <w:bookmarkStart w:id="142" w:name="_Toc27233240"/>
      <w:bookmarkStart w:id="143" w:name="_Toc10391"/>
      <w:bookmarkStart w:id="144" w:name="_Toc8516"/>
      <w:bookmarkStart w:id="145" w:name="_Toc25665"/>
      <w:bookmarkStart w:id="146" w:name="_Toc20556093"/>
      <w:bookmarkStart w:id="147" w:name="_Toc8448"/>
      <w:r>
        <w:rPr>
          <w:rFonts w:hint="eastAsia" w:ascii="微软雅黑" w:hAnsi="微软雅黑" w:eastAsia="微软雅黑" w:cs="微软雅黑"/>
          <w:b/>
          <w:sz w:val="24"/>
          <w:szCs w:val="24"/>
        </w:rPr>
        <w:t>第二课堂活动</w:t>
      </w:r>
      <w:bookmarkEnd w:id="142"/>
      <w:bookmarkEnd w:id="143"/>
      <w:bookmarkEnd w:id="144"/>
      <w:bookmarkEnd w:id="145"/>
      <w:bookmarkEnd w:id="146"/>
      <w:bookmarkEnd w:id="147"/>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第一学期至第四学期，每学期至少完成</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小时第二课堂活动，计为</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学分。毕业前完成4学分，累计7</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小时。</w:t>
      </w:r>
    </w:p>
    <w:p>
      <w:pPr>
        <w:pStyle w:val="15"/>
        <w:adjustRightInd w:val="0"/>
        <w:snapToGrid w:val="0"/>
        <w:spacing w:before="0" w:after="0" w:line="500" w:lineRule="atLeast"/>
        <w:rPr>
          <w:rFonts w:ascii="微软雅黑" w:hAnsi="微软雅黑" w:eastAsia="微软雅黑"/>
          <w:color w:val="000099"/>
          <w:sz w:val="24"/>
          <w:szCs w:val="24"/>
        </w:rPr>
      </w:pPr>
      <w:bookmarkStart w:id="148" w:name="_Toc2353"/>
      <w:bookmarkStart w:id="149" w:name="_Toc41473435"/>
      <w:bookmarkStart w:id="150" w:name="_Toc18938"/>
      <w:bookmarkStart w:id="151" w:name="_Toc20307"/>
      <w:bookmarkStart w:id="152" w:name="_Toc7858"/>
      <w:bookmarkStart w:id="153" w:name="_Toc41473133"/>
      <w:bookmarkStart w:id="154" w:name="_Toc23401"/>
      <w:r>
        <w:rPr>
          <w:rFonts w:hint="eastAsia" w:ascii="微软雅黑" w:hAnsi="微软雅黑" w:eastAsia="微软雅黑"/>
          <w:color w:val="000099"/>
          <w:sz w:val="24"/>
          <w:szCs w:val="24"/>
        </w:rPr>
        <w:t>表8第二课堂活动安排表</w:t>
      </w:r>
      <w:bookmarkEnd w:id="148"/>
      <w:bookmarkEnd w:id="149"/>
      <w:bookmarkEnd w:id="150"/>
      <w:bookmarkEnd w:id="151"/>
      <w:bookmarkEnd w:id="152"/>
      <w:bookmarkEnd w:id="153"/>
      <w:bookmarkEnd w:id="154"/>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42"/>
        <w:gridCol w:w="1539"/>
        <w:gridCol w:w="848"/>
        <w:gridCol w:w="1445"/>
        <w:gridCol w:w="1502"/>
        <w:gridCol w:w="87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35"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bookmarkStart w:id="155" w:name="_Hlk20566429"/>
            <w:r>
              <w:rPr>
                <w:rFonts w:hint="eastAsia" w:ascii="微软雅黑" w:hAnsi="微软雅黑" w:eastAsia="微软雅黑" w:cs="Times New Roman"/>
                <w:b/>
                <w:bCs/>
                <w:sz w:val="18"/>
                <w:szCs w:val="18"/>
              </w:rPr>
              <w:t>序号</w:t>
            </w:r>
          </w:p>
        </w:tc>
        <w:tc>
          <w:tcPr>
            <w:tcW w:w="564"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活动模块</w:t>
            </w:r>
          </w:p>
        </w:tc>
        <w:tc>
          <w:tcPr>
            <w:tcW w:w="833"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活动项目</w:t>
            </w:r>
          </w:p>
        </w:tc>
        <w:tc>
          <w:tcPr>
            <w:tcW w:w="459"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实施</w:t>
            </w:r>
          </w:p>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单位</w:t>
            </w:r>
          </w:p>
        </w:tc>
        <w:tc>
          <w:tcPr>
            <w:tcW w:w="782"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具体内容</w:t>
            </w:r>
          </w:p>
        </w:tc>
        <w:tc>
          <w:tcPr>
            <w:tcW w:w="813"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举行方式</w:t>
            </w:r>
          </w:p>
        </w:tc>
        <w:tc>
          <w:tcPr>
            <w:tcW w:w="471"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开展</w:t>
            </w:r>
          </w:p>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时间</w:t>
            </w:r>
          </w:p>
        </w:tc>
        <w:tc>
          <w:tcPr>
            <w:tcW w:w="739"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开展目的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ascii="微软雅黑" w:hAnsi="微软雅黑" w:eastAsia="微软雅黑" w:cs="Times New Roman"/>
                <w:sz w:val="18"/>
                <w:szCs w:val="18"/>
              </w:rPr>
              <w:t>1</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思想成长</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入学教育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校规校纪、安全教育、专业认知</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第1学期</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2</w:t>
            </w:r>
            <w:r>
              <w:rPr>
                <w:rFonts w:hint="eastAsia" w:ascii="微软雅黑" w:hAnsi="微软雅黑" w:eastAsia="微软雅黑" w:cs="Times New Roman"/>
                <w:sz w:val="18"/>
                <w:szCs w:val="18"/>
              </w:rPr>
              <w:t>周</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适应大学生活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ascii="微软雅黑" w:hAnsi="微软雅黑" w:eastAsia="微软雅黑" w:cs="Times New Roman"/>
                <w:sz w:val="18"/>
                <w:szCs w:val="18"/>
              </w:rPr>
              <w:t>2</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思政实践</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新时代特色社会主义思想、爱国教育、道德法律教育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讲座、主题班会、主题活动、社团活动、志愿者活动等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4</w:t>
            </w:r>
            <w:r>
              <w:rPr>
                <w:rFonts w:hint="eastAsia" w:ascii="微软雅黑" w:hAnsi="微软雅黑" w:eastAsia="微软雅黑" w:cs="Times New Roman"/>
                <w:sz w:val="18"/>
                <w:szCs w:val="18"/>
              </w:rPr>
              <w:t>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强化爱党、爱国思想，树立正确三观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劳动教育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校内义务劳动、校外公益活动，进行工匠精神、劳模精神等专题教育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设计劳动主题活动日</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强化吃苦耐劳能力，养成勤奋习惯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564"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文体活动</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人文素质教育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体育、文化等</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文体活动、社团活动、启智大讲堂讲座活动、阅读活动、竞赛等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拓展视野，提升人文素养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志愿公益</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志愿服务</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组织学生参加重大活动、公益活动等志愿服务</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依据志愿服务方案开展</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增强社会责任感，深化奉献精神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564" w:type="pct"/>
            <w:vMerge w:val="continue"/>
            <w:vAlign w:val="center"/>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社会责任</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绿色环保</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社会公益活动、绿色环保宣传教育活动</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讲座，公益宣传活动，志愿者服务、探访、孤儿院及养老院等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培养和强化社会责任感、尊老爱幼美德及环保意识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7</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科普活动</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依托学校科普基地开展科普教育活动</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参与讲解团队、开展科普讲解</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提升科学文化素养，强化服务意识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8</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技能特长</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职业素养</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进行职业道德、职业素养、职业行为习惯培养，职业精神等专题教育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讲座、系服日、企业参观、专业文化塑造等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4</w:t>
            </w:r>
            <w:r>
              <w:rPr>
                <w:rFonts w:hint="eastAsia" w:ascii="微软雅黑" w:hAnsi="微软雅黑" w:eastAsia="微软雅黑" w:cs="Times New Roman"/>
                <w:sz w:val="18"/>
                <w:szCs w:val="18"/>
              </w:rPr>
              <w:t>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培养职业精神，提升职业素养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9</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技能比赛</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专业技能比赛竞赛</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比赛竞赛</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1-4学期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提高专业技能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10</w:t>
            </w:r>
          </w:p>
        </w:tc>
        <w:tc>
          <w:tcPr>
            <w:tcW w:w="564"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创新创业</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创业教育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创业意识、创业知识等</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讲座、创业大赛</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培养创新、创业能力</w:t>
            </w:r>
          </w:p>
        </w:tc>
      </w:tr>
      <w:bookmarkEnd w:id="155"/>
    </w:tbl>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56" w:name="_Toc14198"/>
      <w:bookmarkStart w:id="157" w:name="_Toc13567"/>
      <w:r>
        <w:rPr>
          <w:rFonts w:hint="eastAsia" w:ascii="微软雅黑" w:hAnsi="微软雅黑" w:eastAsia="微软雅黑" w:cs="微软雅黑"/>
          <w:sz w:val="24"/>
          <w:szCs w:val="24"/>
        </w:rPr>
        <w:t>（五）</w:t>
      </w:r>
      <w:bookmarkEnd w:id="138"/>
      <w:r>
        <w:rPr>
          <w:rFonts w:hint="eastAsia" w:ascii="微软雅黑" w:hAnsi="微软雅黑" w:eastAsia="微软雅黑" w:cs="微软雅黑"/>
          <w:sz w:val="24"/>
          <w:szCs w:val="24"/>
        </w:rPr>
        <w:t>学时安排</w:t>
      </w:r>
      <w:bookmarkEnd w:id="139"/>
      <w:bookmarkEnd w:id="140"/>
      <w:bookmarkEnd w:id="141"/>
      <w:bookmarkEnd w:id="156"/>
      <w:bookmarkEnd w:id="157"/>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
          <w:sz w:val="24"/>
          <w:szCs w:val="24"/>
        </w:rPr>
        <w:t>技术型</w:t>
      </w:r>
      <w:r>
        <w:rPr>
          <w:rFonts w:hint="eastAsia" w:ascii="微软雅黑" w:hAnsi="微软雅黑" w:eastAsia="微软雅黑" w:cs="微软雅黑"/>
          <w:bCs/>
          <w:sz w:val="24"/>
          <w:szCs w:val="24"/>
        </w:rPr>
        <w:t>总学时为30</w:t>
      </w:r>
      <w:r>
        <w:rPr>
          <w:rFonts w:ascii="微软雅黑" w:hAnsi="微软雅黑" w:eastAsia="微软雅黑" w:cs="微软雅黑"/>
          <w:bCs/>
          <w:sz w:val="24"/>
          <w:szCs w:val="24"/>
        </w:rPr>
        <w:t>0</w:t>
      </w:r>
      <w:r>
        <w:rPr>
          <w:rFonts w:hint="eastAsia" w:ascii="微软雅黑" w:hAnsi="微软雅黑" w:eastAsia="微软雅黑" w:cs="微软雅黑"/>
          <w:bCs/>
          <w:sz w:val="24"/>
          <w:szCs w:val="24"/>
          <w:lang w:val="en-US" w:eastAsia="zh-CN"/>
        </w:rPr>
        <w:t>2</w:t>
      </w:r>
      <w:r>
        <w:rPr>
          <w:rFonts w:hint="eastAsia" w:ascii="微软雅黑" w:hAnsi="微软雅黑" w:eastAsia="微软雅黑" w:cs="微软雅黑"/>
          <w:bCs/>
          <w:sz w:val="24"/>
          <w:szCs w:val="24"/>
        </w:rPr>
        <w:t>学时，一般课程以</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学时折算1学分，岗位实习1周计为24学时1学分，总学分为</w:t>
      </w:r>
      <w:r>
        <w:rPr>
          <w:rFonts w:ascii="微软雅黑" w:hAnsi="微软雅黑" w:eastAsia="微软雅黑" w:cs="微软雅黑"/>
          <w:bCs/>
          <w:sz w:val="24"/>
          <w:szCs w:val="24"/>
        </w:rPr>
        <w:t>157</w:t>
      </w:r>
      <w:r>
        <w:rPr>
          <w:rFonts w:hint="eastAsia" w:ascii="微软雅黑" w:hAnsi="微软雅黑" w:eastAsia="微软雅黑" w:cs="微软雅黑"/>
          <w:bCs/>
          <w:sz w:val="24"/>
          <w:szCs w:val="24"/>
        </w:rPr>
        <w:t>。公共基础课学时占总学时的</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4</w:t>
      </w:r>
      <w:r>
        <w:rPr>
          <w:rFonts w:ascii="微软雅黑" w:hAnsi="微软雅黑" w:eastAsia="微软雅黑" w:cs="微软雅黑"/>
          <w:bCs/>
          <w:sz w:val="24"/>
          <w:szCs w:val="24"/>
        </w:rPr>
        <w:t>.</w:t>
      </w:r>
      <w:r>
        <w:rPr>
          <w:rFonts w:hint="eastAsia" w:ascii="微软雅黑" w:hAnsi="微软雅黑" w:eastAsia="微软雅黑" w:cs="微软雅黑"/>
          <w:bCs/>
          <w:sz w:val="24"/>
          <w:szCs w:val="24"/>
          <w:lang w:val="en-US" w:eastAsia="zh-CN"/>
        </w:rPr>
        <w:t>71</w:t>
      </w:r>
      <w:r>
        <w:rPr>
          <w:rFonts w:hint="eastAsia" w:ascii="微软雅黑" w:hAnsi="微软雅黑" w:eastAsia="微软雅黑" w:cs="微软雅黑"/>
          <w:bCs/>
          <w:sz w:val="24"/>
          <w:szCs w:val="24"/>
        </w:rPr>
        <w:t>％，实践性教学学时占总学时的</w:t>
      </w:r>
      <w:r>
        <w:rPr>
          <w:rFonts w:ascii="微软雅黑" w:hAnsi="微软雅黑" w:eastAsia="微软雅黑" w:cs="微软雅黑"/>
          <w:bCs/>
          <w:sz w:val="24"/>
          <w:szCs w:val="24"/>
        </w:rPr>
        <w:t>54.</w:t>
      </w:r>
      <w:r>
        <w:rPr>
          <w:rFonts w:hint="eastAsia" w:ascii="微软雅黑" w:hAnsi="微软雅黑" w:eastAsia="微软雅黑" w:cs="微软雅黑"/>
          <w:bCs/>
          <w:sz w:val="24"/>
          <w:szCs w:val="24"/>
          <w:lang w:val="en-US" w:eastAsia="zh-CN"/>
        </w:rPr>
        <w:t>30</w:t>
      </w:r>
      <w:r>
        <w:rPr>
          <w:rFonts w:hint="eastAsia" w:ascii="微软雅黑" w:hAnsi="微软雅黑" w:eastAsia="微软雅黑" w:cs="微软雅黑"/>
          <w:bCs/>
          <w:sz w:val="24"/>
          <w:szCs w:val="24"/>
        </w:rPr>
        <w:t>％，其中，岗位实习累计时间为</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个月，集中安排在第三学年第六学期。各类选修课程学时累计占总学时的</w:t>
      </w:r>
      <w:r>
        <w:rPr>
          <w:rFonts w:ascii="微软雅黑" w:hAnsi="微软雅黑" w:eastAsia="微软雅黑" w:cs="微软雅黑"/>
          <w:bCs/>
          <w:sz w:val="24"/>
          <w:szCs w:val="24"/>
        </w:rPr>
        <w:t>12.7</w:t>
      </w:r>
      <w:r>
        <w:rPr>
          <w:rFonts w:hint="eastAsia" w:ascii="微软雅黑" w:hAnsi="微软雅黑" w:eastAsia="微软雅黑" w:cs="微软雅黑"/>
          <w:bCs/>
          <w:sz w:val="24"/>
          <w:szCs w:val="24"/>
          <w:lang w:val="en-US" w:eastAsia="zh-CN"/>
        </w:rPr>
        <w:t>9</w:t>
      </w:r>
      <w:r>
        <w:rPr>
          <w:rFonts w:hint="eastAsia" w:ascii="微软雅黑" w:hAnsi="微软雅黑" w:eastAsia="微软雅黑" w:cs="微软雅黑"/>
          <w:bCs/>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58" w:name="_Toc20556087"/>
      <w:bookmarkStart w:id="159" w:name="_Toc2649"/>
      <w:bookmarkStart w:id="160" w:name="_Toc1943"/>
      <w:bookmarkStart w:id="161" w:name="_Toc14714"/>
      <w:bookmarkStart w:id="162" w:name="_Toc27233234"/>
      <w:bookmarkStart w:id="163" w:name="_Toc30014"/>
      <w:r>
        <w:rPr>
          <w:rFonts w:hint="eastAsia" w:ascii="微软雅黑" w:hAnsi="微软雅黑" w:eastAsia="微软雅黑" w:cs="微软雅黑"/>
          <w:sz w:val="28"/>
          <w:szCs w:val="28"/>
        </w:rPr>
        <w:t>七、教学进程总体安排</w:t>
      </w:r>
      <w:bookmarkEnd w:id="158"/>
      <w:bookmarkEnd w:id="159"/>
      <w:bookmarkEnd w:id="160"/>
      <w:bookmarkEnd w:id="161"/>
      <w:bookmarkEnd w:id="162"/>
      <w:bookmarkEnd w:id="163"/>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64" w:name="_Toc30600"/>
      <w:bookmarkStart w:id="165" w:name="_Toc20556088"/>
      <w:bookmarkStart w:id="166" w:name="_Toc3120"/>
      <w:bookmarkStart w:id="167" w:name="_Toc29025"/>
      <w:bookmarkStart w:id="168" w:name="_Toc30443"/>
      <w:bookmarkStart w:id="169" w:name="_Toc27233235"/>
      <w:r>
        <w:rPr>
          <w:rFonts w:hint="eastAsia" w:ascii="微软雅黑" w:hAnsi="微软雅黑" w:eastAsia="微软雅黑" w:cs="微软雅黑"/>
          <w:sz w:val="24"/>
          <w:szCs w:val="24"/>
        </w:rPr>
        <w:t>（一）教学周数分配</w:t>
      </w:r>
      <w:bookmarkEnd w:id="164"/>
      <w:bookmarkEnd w:id="165"/>
      <w:bookmarkEnd w:id="166"/>
      <w:bookmarkEnd w:id="167"/>
      <w:bookmarkEnd w:id="168"/>
      <w:bookmarkEnd w:id="169"/>
    </w:p>
    <w:p>
      <w:pPr>
        <w:pStyle w:val="15"/>
        <w:adjustRightInd w:val="0"/>
        <w:snapToGrid w:val="0"/>
        <w:spacing w:before="0" w:after="0" w:line="500" w:lineRule="atLeast"/>
        <w:rPr>
          <w:rFonts w:ascii="微软雅黑" w:hAnsi="微软雅黑" w:eastAsia="微软雅黑"/>
          <w:color w:val="000099"/>
          <w:sz w:val="24"/>
          <w:szCs w:val="24"/>
        </w:rPr>
      </w:pPr>
      <w:bookmarkStart w:id="170" w:name="_Toc28668"/>
      <w:bookmarkStart w:id="171" w:name="_Toc41473430"/>
      <w:bookmarkStart w:id="172" w:name="_Toc3958"/>
      <w:bookmarkStart w:id="173" w:name="_Toc17465"/>
      <w:bookmarkStart w:id="174" w:name="_Toc29942"/>
      <w:bookmarkStart w:id="175" w:name="_Toc16805"/>
      <w:bookmarkStart w:id="176" w:name="_Toc41473128"/>
      <w:bookmarkStart w:id="177" w:name="_Hlk20319490"/>
      <w:r>
        <w:rPr>
          <w:rFonts w:hint="eastAsia" w:ascii="微软雅黑" w:hAnsi="微软雅黑" w:eastAsia="微软雅黑"/>
          <w:color w:val="000099"/>
          <w:sz w:val="24"/>
          <w:szCs w:val="24"/>
        </w:rPr>
        <w:t>表9教学周数分配表</w:t>
      </w:r>
      <w:bookmarkEnd w:id="170"/>
      <w:bookmarkEnd w:id="171"/>
      <w:bookmarkEnd w:id="172"/>
      <w:bookmarkEnd w:id="173"/>
      <w:bookmarkEnd w:id="174"/>
      <w:bookmarkEnd w:id="175"/>
      <w:bookmarkEnd w:id="176"/>
    </w:p>
    <w:bookmarkEnd w:id="177"/>
    <w:tbl>
      <w:tblPr>
        <w:tblStyle w:val="16"/>
        <w:tblW w:w="9044" w:type="dxa"/>
        <w:tblInd w:w="0" w:type="dxa"/>
        <w:tblLayout w:type="fixed"/>
        <w:tblCellMar>
          <w:top w:w="0" w:type="dxa"/>
          <w:left w:w="0" w:type="dxa"/>
          <w:bottom w:w="0" w:type="dxa"/>
          <w:right w:w="0" w:type="dxa"/>
        </w:tblCellMar>
      </w:tblPr>
      <w:tblGrid>
        <w:gridCol w:w="594"/>
        <w:gridCol w:w="1804"/>
        <w:gridCol w:w="949"/>
        <w:gridCol w:w="950"/>
        <w:gridCol w:w="949"/>
        <w:gridCol w:w="950"/>
        <w:gridCol w:w="949"/>
        <w:gridCol w:w="950"/>
        <w:gridCol w:w="949"/>
      </w:tblGrid>
      <w:tr>
        <w:tblPrEx>
          <w:tblCellMar>
            <w:top w:w="0" w:type="dxa"/>
            <w:left w:w="0" w:type="dxa"/>
            <w:bottom w:w="0" w:type="dxa"/>
            <w:right w:w="0" w:type="dxa"/>
          </w:tblCellMar>
        </w:tblPrEx>
        <w:trPr>
          <w:trHeight w:val="30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bookmarkStart w:id="178" w:name="_Hlk20301518"/>
            <w:r>
              <w:rPr>
                <w:rFonts w:hint="eastAsia" w:ascii="微软雅黑" w:hAnsi="微软雅黑" w:eastAsia="微软雅黑" w:cs="Times New Roman"/>
                <w:b/>
                <w:bCs/>
                <w:szCs w:val="21"/>
              </w:rPr>
              <w:t>序号</w:t>
            </w:r>
          </w:p>
        </w:tc>
        <w:tc>
          <w:tcPr>
            <w:tcW w:w="1804" w:type="dxa"/>
            <w:vMerge w:val="restart"/>
            <w:tcBorders>
              <w:top w:val="single" w:color="000000" w:sz="4" w:space="0"/>
              <w:left w:val="single" w:color="000000" w:sz="4" w:space="0"/>
              <w:bottom w:val="single" w:color="000000" w:sz="4" w:space="0"/>
              <w:right w:val="single" w:color="000000" w:sz="4" w:space="0"/>
            </w:tcBorders>
            <w:shd w:val="clear" w:color="auto" w:fill="C5E2FF"/>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内容</w:t>
            </w:r>
          </w:p>
        </w:tc>
        <w:tc>
          <w:tcPr>
            <w:tcW w:w="5697" w:type="dxa"/>
            <w:gridSpan w:val="6"/>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学期</w:t>
            </w:r>
          </w:p>
        </w:tc>
        <w:tc>
          <w:tcPr>
            <w:tcW w:w="949" w:type="dxa"/>
            <w:vMerge w:val="restart"/>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合计</w:t>
            </w:r>
          </w:p>
        </w:tc>
      </w:tr>
      <w:tr>
        <w:tblPrEx>
          <w:tblCellMar>
            <w:top w:w="0" w:type="dxa"/>
            <w:left w:w="0" w:type="dxa"/>
            <w:bottom w:w="0" w:type="dxa"/>
            <w:right w:w="0" w:type="dxa"/>
          </w:tblCellMar>
        </w:tblPrEx>
        <w:trPr>
          <w:trHeight w:val="34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1804" w:type="dxa"/>
            <w:vMerge w:val="continue"/>
            <w:tcBorders>
              <w:top w:val="single" w:color="000000" w:sz="4" w:space="0"/>
              <w:left w:val="single" w:color="000000" w:sz="4" w:space="0"/>
              <w:bottom w:val="single" w:color="000000" w:sz="4" w:space="0"/>
              <w:right w:val="single" w:color="000000" w:sz="4" w:space="0"/>
            </w:tcBorders>
            <w:shd w:val="clear" w:color="auto" w:fill="C5E2FF"/>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一</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二</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三</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四</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五</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六</w:t>
            </w: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课内教学</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14</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r>
              <w:rPr>
                <w:rFonts w:ascii="微软雅黑" w:hAnsi="微软雅黑" w:eastAsia="微软雅黑" w:cs="Times New Roman"/>
                <w:szCs w:val="21"/>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65</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军事技能</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学期考核</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社会实践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冬季小学期</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岗位实习</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40</w:t>
            </w:r>
          </w:p>
        </w:tc>
      </w:tr>
      <w:tr>
        <w:tblPrEx>
          <w:tblCellMar>
            <w:top w:w="0" w:type="dxa"/>
            <w:left w:w="0" w:type="dxa"/>
            <w:bottom w:w="0" w:type="dxa"/>
            <w:right w:w="0" w:type="dxa"/>
          </w:tblCellMar>
        </w:tblPrEx>
        <w:trPr>
          <w:trHeight w:val="35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7</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毕业教育</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r>
      <w:tr>
        <w:tblPrEx>
          <w:tblCellMar>
            <w:top w:w="0" w:type="dxa"/>
            <w:left w:w="0" w:type="dxa"/>
            <w:bottom w:w="0" w:type="dxa"/>
            <w:right w:w="0" w:type="dxa"/>
          </w:tblCellMar>
        </w:tblPrEx>
        <w:trPr>
          <w:trHeight w:val="300" w:hRule="atLeast"/>
        </w:trPr>
        <w:tc>
          <w:tcPr>
            <w:tcW w:w="2398" w:type="dxa"/>
            <w:gridSpan w:val="2"/>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学期周数</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19</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21</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120</w:t>
            </w:r>
          </w:p>
        </w:tc>
      </w:tr>
    </w:tbl>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79" w:name="_Toc25264"/>
      <w:bookmarkStart w:id="180" w:name="_Toc20556090"/>
      <w:bookmarkStart w:id="181" w:name="_Toc27233237"/>
      <w:bookmarkStart w:id="182" w:name="_Toc17547"/>
      <w:bookmarkStart w:id="183" w:name="_Toc9406"/>
      <w:bookmarkStart w:id="184" w:name="_Toc22961"/>
      <w:r>
        <w:rPr>
          <w:rFonts w:hint="eastAsia" w:ascii="微软雅黑" w:hAnsi="微软雅黑" w:eastAsia="微软雅黑" w:cs="微软雅黑"/>
          <w:sz w:val="24"/>
          <w:szCs w:val="24"/>
        </w:rPr>
        <w:t>（二）教学进程</w:t>
      </w:r>
      <w:bookmarkEnd w:id="179"/>
      <w:bookmarkEnd w:id="180"/>
      <w:bookmarkEnd w:id="181"/>
      <w:bookmarkEnd w:id="182"/>
      <w:bookmarkEnd w:id="183"/>
      <w:bookmarkEnd w:id="184"/>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见</w:t>
      </w:r>
      <w:r>
        <w:rPr>
          <w:rFonts w:hint="eastAsia" w:ascii="微软雅黑" w:hAnsi="微软雅黑" w:eastAsia="微软雅黑" w:cs="微软雅黑"/>
          <w:bCs/>
          <w:sz w:val="24"/>
          <w:szCs w:val="24"/>
          <w:lang w:eastAsia="zh-Hans"/>
        </w:rPr>
        <w:t>飞机机电设备维修</w:t>
      </w:r>
      <w:r>
        <w:rPr>
          <w:rFonts w:ascii="微软雅黑" w:hAnsi="微软雅黑" w:eastAsia="微软雅黑" w:cs="微软雅黑"/>
          <w:bCs/>
          <w:sz w:val="24"/>
          <w:szCs w:val="24"/>
          <w:lang w:eastAsia="zh-Hans"/>
        </w:rPr>
        <w:t>（</w:t>
      </w:r>
      <w:r>
        <w:rPr>
          <w:rFonts w:hint="eastAsia" w:ascii="微软雅黑" w:hAnsi="微软雅黑" w:eastAsia="微软雅黑" w:cs="微软雅黑"/>
          <w:bCs/>
          <w:sz w:val="24"/>
          <w:szCs w:val="24"/>
          <w:lang w:eastAsia="zh-Hans"/>
        </w:rPr>
        <w:t>技术型</w:t>
      </w:r>
      <w:r>
        <w:rPr>
          <w:rFonts w:ascii="微软雅黑" w:hAnsi="微软雅黑" w:eastAsia="微软雅黑" w:cs="微软雅黑"/>
          <w:bCs/>
          <w:sz w:val="24"/>
          <w:szCs w:val="24"/>
          <w:lang w:eastAsia="zh-Hans"/>
        </w:rPr>
        <w:t>）</w:t>
      </w:r>
      <w:r>
        <w:rPr>
          <w:rFonts w:hint="eastAsia" w:ascii="微软雅黑" w:hAnsi="微软雅黑" w:eastAsia="微软雅黑" w:cs="微软雅黑"/>
          <w:bCs/>
          <w:sz w:val="24"/>
          <w:szCs w:val="24"/>
        </w:rPr>
        <w:t>专业教学进程表。</w:t>
      </w:r>
    </w:p>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85" w:name="_Toc16574"/>
      <w:bookmarkStart w:id="186" w:name="_Toc20564"/>
      <w:bookmarkStart w:id="187" w:name="_Toc20556091"/>
      <w:bookmarkStart w:id="188" w:name="_Toc27233238"/>
      <w:bookmarkStart w:id="189" w:name="_Toc29247"/>
      <w:bookmarkStart w:id="190" w:name="_Toc1026"/>
      <w:bookmarkStart w:id="191" w:name="_Toc422410234"/>
      <w:bookmarkStart w:id="192" w:name="_Toc10074"/>
      <w:bookmarkStart w:id="193" w:name="_Toc8073"/>
      <w:bookmarkStart w:id="194" w:name="_Toc26800"/>
      <w:bookmarkStart w:id="195" w:name="_Toc13108"/>
      <w:r>
        <w:rPr>
          <w:rFonts w:hint="eastAsia" w:ascii="微软雅黑" w:hAnsi="微软雅黑" w:eastAsia="微软雅黑" w:cs="微软雅黑"/>
          <w:sz w:val="24"/>
          <w:szCs w:val="24"/>
        </w:rPr>
        <w:t>（三）各类型课程学时统计</w:t>
      </w:r>
      <w:bookmarkEnd w:id="185"/>
      <w:bookmarkEnd w:id="186"/>
      <w:bookmarkEnd w:id="187"/>
      <w:bookmarkEnd w:id="188"/>
      <w:bookmarkEnd w:id="189"/>
      <w:bookmarkEnd w:id="190"/>
      <w:bookmarkEnd w:id="191"/>
      <w:bookmarkEnd w:id="192"/>
      <w:bookmarkEnd w:id="193"/>
      <w:bookmarkEnd w:id="194"/>
      <w:bookmarkEnd w:id="195"/>
    </w:p>
    <w:p>
      <w:pPr>
        <w:pStyle w:val="15"/>
        <w:adjustRightInd w:val="0"/>
        <w:snapToGrid w:val="0"/>
        <w:spacing w:before="0" w:after="0" w:line="500" w:lineRule="atLeast"/>
        <w:rPr>
          <w:rFonts w:ascii="微软雅黑" w:hAnsi="微软雅黑" w:eastAsia="微软雅黑"/>
          <w:color w:val="000099"/>
          <w:sz w:val="24"/>
          <w:szCs w:val="24"/>
        </w:rPr>
      </w:pPr>
      <w:bookmarkStart w:id="196" w:name="_Toc41473131"/>
      <w:bookmarkStart w:id="197" w:name="_Toc24678"/>
      <w:bookmarkStart w:id="198" w:name="_Toc6802"/>
      <w:bookmarkStart w:id="199" w:name="_Toc41473433"/>
      <w:bookmarkStart w:id="200" w:name="_Toc31615"/>
      <w:bookmarkStart w:id="201" w:name="_Toc3227"/>
      <w:bookmarkStart w:id="202" w:name="_Toc20857"/>
      <w:r>
        <w:rPr>
          <w:rFonts w:hint="eastAsia" w:ascii="微软雅黑" w:hAnsi="微软雅黑" w:eastAsia="微软雅黑"/>
          <w:color w:val="000099"/>
          <w:sz w:val="24"/>
          <w:szCs w:val="24"/>
        </w:rPr>
        <w:t>表10各类课程学时分配情况统计表</w:t>
      </w:r>
      <w:bookmarkEnd w:id="196"/>
      <w:bookmarkEnd w:id="197"/>
      <w:bookmarkEnd w:id="198"/>
      <w:bookmarkEnd w:id="199"/>
      <w:bookmarkEnd w:id="200"/>
      <w:bookmarkEnd w:id="201"/>
      <w:bookmarkEnd w:id="202"/>
    </w:p>
    <w:p/>
    <w:bookmarkEnd w:id="178"/>
    <w:tbl>
      <w:tblPr>
        <w:tblW w:w="91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40"/>
        <w:gridCol w:w="1257"/>
        <w:gridCol w:w="1028"/>
        <w:gridCol w:w="1028"/>
        <w:gridCol w:w="1028"/>
        <w:gridCol w:w="1692"/>
        <w:gridCol w:w="1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bookmarkStart w:id="203" w:name="_Toc27233242"/>
            <w:bookmarkStart w:id="204" w:name="_Toc23306"/>
            <w:bookmarkStart w:id="205" w:name="_Toc444"/>
            <w:bookmarkStart w:id="206" w:name="_Toc21834"/>
            <w:bookmarkStart w:id="207" w:name="_Toc30427"/>
            <w:bookmarkStart w:id="208" w:name="_Toc20556095"/>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课程类别</w:t>
            </w:r>
          </w:p>
        </w:tc>
        <w:tc>
          <w:tcPr>
            <w:tcW w:w="1257"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jc w:val="center"/>
              <w:rPr>
                <w:rFonts w:hint="eastAsia" w:ascii="微软雅黑" w:hAnsi="微软雅黑" w:eastAsia="微软雅黑" w:cs="微软雅黑"/>
                <w:b/>
                <w:bCs/>
                <w:i w:val="0"/>
                <w:iCs w:val="0"/>
                <w:color w:val="000000"/>
                <w:sz w:val="18"/>
                <w:szCs w:val="18"/>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总学分</w:t>
            </w:r>
          </w:p>
        </w:tc>
        <w:tc>
          <w:tcPr>
            <w:tcW w:w="2056"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总学时</w:t>
            </w:r>
          </w:p>
        </w:tc>
        <w:tc>
          <w:tcPr>
            <w:tcW w:w="1692"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C00000"/>
                <w:sz w:val="18"/>
                <w:szCs w:val="18"/>
                <w:u w:val="none"/>
              </w:rPr>
            </w:pPr>
            <w:r>
              <w:rPr>
                <w:rFonts w:hint="eastAsia" w:ascii="微软雅黑" w:hAnsi="微软雅黑" w:eastAsia="微软雅黑" w:cs="微软雅黑"/>
                <w:b/>
                <w:bCs/>
                <w:i w:val="0"/>
                <w:iCs w:val="0"/>
                <w:color w:val="C00000"/>
                <w:kern w:val="0"/>
                <w:sz w:val="18"/>
                <w:szCs w:val="18"/>
                <w:u w:val="none"/>
                <w:bdr w:val="none" w:color="auto" w:sz="0" w:space="0"/>
                <w:lang w:val="en-US" w:eastAsia="zh-CN" w:bidi="ar"/>
              </w:rPr>
              <w:t>实践性教学课学时</w:t>
            </w:r>
          </w:p>
        </w:tc>
        <w:tc>
          <w:tcPr>
            <w:tcW w:w="1876"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C00000"/>
                <w:sz w:val="18"/>
                <w:szCs w:val="18"/>
                <w:u w:val="none"/>
              </w:rPr>
            </w:pPr>
            <w:r>
              <w:rPr>
                <w:rFonts w:hint="eastAsia" w:ascii="微软雅黑" w:hAnsi="微软雅黑" w:eastAsia="微软雅黑" w:cs="微软雅黑"/>
                <w:b/>
                <w:bCs/>
                <w:i w:val="0"/>
                <w:iCs w:val="0"/>
                <w:color w:val="C00000"/>
                <w:kern w:val="0"/>
                <w:sz w:val="18"/>
                <w:szCs w:val="18"/>
                <w:u w:val="none"/>
                <w:bdr w:val="none" w:color="auto" w:sz="0" w:space="0"/>
                <w:lang w:val="en-US" w:eastAsia="zh-CN" w:bidi="ar"/>
              </w:rPr>
              <w:t>实践性教学课时占比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公共基础课</w:t>
            </w: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必修课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47</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898</w:t>
            </w:r>
          </w:p>
        </w:tc>
        <w:tc>
          <w:tcPr>
            <w:tcW w:w="102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1042</w:t>
            </w: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382</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选修课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144</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0</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专业课</w:t>
            </w: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专业基础课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292</w:t>
            </w:r>
          </w:p>
        </w:tc>
        <w:tc>
          <w:tcPr>
            <w:tcW w:w="102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1888</w:t>
            </w: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74</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专业核心课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36.5</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642</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228</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专业拓展课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168</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88</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24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25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实践实习</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36.5</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786</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786</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497"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第二课堂</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69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87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49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合计</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157</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3002</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3002</w:t>
            </w:r>
          </w:p>
        </w:tc>
        <w:tc>
          <w:tcPr>
            <w:tcW w:w="1692"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1630</w:t>
            </w:r>
          </w:p>
        </w:tc>
        <w:tc>
          <w:tcPr>
            <w:tcW w:w="1876"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jc w:val="center"/>
              <w:rPr>
                <w:rFonts w:hint="eastAsia" w:ascii="微软雅黑" w:hAnsi="微软雅黑" w:eastAsia="微软雅黑" w:cs="微软雅黑"/>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49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公共基础课学时占比（%）</w:t>
            </w:r>
          </w:p>
        </w:tc>
        <w:tc>
          <w:tcPr>
            <w:tcW w:w="6652" w:type="dxa"/>
            <w:gridSpan w:val="5"/>
            <w:tcBorders>
              <w:top w:val="single" w:color="000000" w:sz="4" w:space="0"/>
              <w:left w:val="single" w:color="000000" w:sz="4" w:space="0"/>
              <w:bottom w:val="single" w:color="000000" w:sz="4" w:space="0"/>
              <w:right w:val="single" w:color="000000" w:sz="4" w:space="0"/>
            </w:tcBorders>
            <w:shd w:val="clear" w:color="auto" w:fill="99CC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34.71%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49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C00000"/>
                <w:sz w:val="18"/>
                <w:szCs w:val="18"/>
                <w:u w:val="none"/>
              </w:rPr>
            </w:pPr>
            <w:r>
              <w:rPr>
                <w:rFonts w:hint="eastAsia" w:ascii="微软雅黑" w:hAnsi="微软雅黑" w:eastAsia="微软雅黑" w:cs="微软雅黑"/>
                <w:b/>
                <w:bCs/>
                <w:i w:val="0"/>
                <w:iCs w:val="0"/>
                <w:color w:val="C00000"/>
                <w:kern w:val="0"/>
                <w:sz w:val="18"/>
                <w:szCs w:val="18"/>
                <w:u w:val="none"/>
                <w:bdr w:val="none" w:color="auto" w:sz="0" w:space="0"/>
                <w:lang w:val="en-US" w:eastAsia="zh-CN" w:bidi="ar"/>
              </w:rPr>
              <w:t>实践性教学</w:t>
            </w: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学时占比（%）</w:t>
            </w:r>
          </w:p>
        </w:tc>
        <w:tc>
          <w:tcPr>
            <w:tcW w:w="6652" w:type="dxa"/>
            <w:gridSpan w:val="5"/>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54.30%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49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选修课学习占比（%）</w:t>
            </w:r>
          </w:p>
        </w:tc>
        <w:tc>
          <w:tcPr>
            <w:tcW w:w="6652" w:type="dxa"/>
            <w:gridSpan w:val="5"/>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9149" w:type="dxa"/>
            <w:gridSpan w:val="7"/>
            <w:tcBorders>
              <w:top w:val="single" w:color="000000" w:sz="4" w:space="0"/>
              <w:left w:val="nil"/>
              <w:bottom w:val="nil"/>
              <w:right w:val="nil"/>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注：选修课包括公共选修课、专业拓展课和第二课堂</w:t>
            </w:r>
          </w:p>
        </w:tc>
      </w:tr>
    </w:tbl>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八、实施保障</w:t>
      </w:r>
      <w:bookmarkEnd w:id="203"/>
      <w:bookmarkEnd w:id="204"/>
      <w:bookmarkEnd w:id="205"/>
      <w:bookmarkEnd w:id="206"/>
      <w:bookmarkEnd w:id="207"/>
      <w:bookmarkEnd w:id="208"/>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主要包括师资队伍、教学设施、教学资源、教学方法、学习评价、质量管理等方面。</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209" w:name="_Toc12708"/>
      <w:bookmarkStart w:id="210" w:name="_Toc12878"/>
      <w:bookmarkStart w:id="211" w:name="_Toc27233243"/>
      <w:bookmarkStart w:id="212" w:name="_Toc11547"/>
      <w:bookmarkStart w:id="213" w:name="_Toc20556096"/>
      <w:bookmarkStart w:id="214" w:name="_Toc15815"/>
      <w:r>
        <w:rPr>
          <w:rFonts w:hint="eastAsia" w:ascii="微软雅黑" w:hAnsi="微软雅黑" w:eastAsia="微软雅黑" w:cs="微软雅黑"/>
          <w:sz w:val="24"/>
          <w:szCs w:val="24"/>
        </w:rPr>
        <w:t>（一）师资队伍</w:t>
      </w:r>
      <w:bookmarkEnd w:id="209"/>
      <w:bookmarkEnd w:id="210"/>
      <w:bookmarkEnd w:id="211"/>
      <w:bookmarkEnd w:id="212"/>
      <w:bookmarkEnd w:id="213"/>
      <w:bookmarkEnd w:id="214"/>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1</w:t>
      </w:r>
      <w:r>
        <w:rPr>
          <w:rFonts w:ascii="微软雅黑" w:hAnsi="微软雅黑" w:eastAsia="微软雅黑" w:cs="微软雅黑"/>
          <w:sz w:val="24"/>
          <w:szCs w:val="24"/>
        </w:rPr>
        <w:t>.</w:t>
      </w:r>
      <w:r>
        <w:rPr>
          <w:rFonts w:hint="eastAsia" w:ascii="微软雅黑" w:hAnsi="微软雅黑" w:eastAsia="微软雅黑" w:cs="微软雅黑"/>
          <w:sz w:val="24"/>
          <w:szCs w:val="24"/>
        </w:rPr>
        <w:t>队伍结构</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师资队伍2</w:t>
      </w:r>
      <w:r>
        <w:rPr>
          <w:rFonts w:ascii="微软雅黑" w:hAnsi="微软雅黑" w:eastAsia="微软雅黑" w:cs="微软雅黑"/>
          <w:sz w:val="24"/>
          <w:szCs w:val="24"/>
        </w:rPr>
        <w:t>9</w:t>
      </w:r>
      <w:r>
        <w:rPr>
          <w:rFonts w:hint="eastAsia" w:ascii="微软雅黑" w:hAnsi="微软雅黑" w:eastAsia="微软雅黑" w:cs="微软雅黑"/>
          <w:sz w:val="24"/>
          <w:szCs w:val="24"/>
        </w:rPr>
        <w:t>人，实行专兼结合，专职教师</w:t>
      </w:r>
      <w:r>
        <w:rPr>
          <w:rFonts w:ascii="微软雅黑" w:hAnsi="微软雅黑" w:eastAsia="微软雅黑" w:cs="微软雅黑"/>
          <w:sz w:val="24"/>
          <w:szCs w:val="24"/>
        </w:rPr>
        <w:t>24</w:t>
      </w:r>
      <w:r>
        <w:rPr>
          <w:rFonts w:hint="eastAsia" w:ascii="微软雅黑" w:hAnsi="微软雅黑" w:eastAsia="微软雅黑" w:cs="微软雅黑"/>
          <w:sz w:val="24"/>
          <w:szCs w:val="24"/>
        </w:rPr>
        <w:t>人，占比8</w:t>
      </w:r>
      <w:r>
        <w:rPr>
          <w:rFonts w:ascii="微软雅黑" w:hAnsi="微软雅黑" w:eastAsia="微软雅黑" w:cs="微软雅黑"/>
          <w:sz w:val="24"/>
          <w:szCs w:val="24"/>
        </w:rPr>
        <w:t>3</w:t>
      </w:r>
      <w:r>
        <w:rPr>
          <w:rFonts w:hint="eastAsia" w:ascii="微软雅黑" w:hAnsi="微软雅黑" w:eastAsia="微软雅黑" w:cs="微软雅黑"/>
          <w:sz w:val="24"/>
          <w:szCs w:val="24"/>
        </w:rPr>
        <w:t>%，企业兼职教师</w:t>
      </w:r>
      <w:r>
        <w:rPr>
          <w:rFonts w:ascii="微软雅黑" w:hAnsi="微软雅黑" w:eastAsia="微软雅黑" w:cs="微软雅黑"/>
          <w:sz w:val="24"/>
          <w:szCs w:val="24"/>
        </w:rPr>
        <w:t>5</w:t>
      </w:r>
      <w:r>
        <w:rPr>
          <w:rFonts w:hint="eastAsia" w:ascii="微软雅黑" w:hAnsi="微软雅黑" w:eastAsia="微软雅黑" w:cs="微软雅黑"/>
          <w:sz w:val="24"/>
          <w:szCs w:val="24"/>
        </w:rPr>
        <w:t>人，占比1</w:t>
      </w:r>
      <w:r>
        <w:rPr>
          <w:rFonts w:ascii="微软雅黑" w:hAnsi="微软雅黑" w:eastAsia="微软雅黑" w:cs="微软雅黑"/>
          <w:sz w:val="24"/>
          <w:szCs w:val="24"/>
        </w:rPr>
        <w:t>7</w:t>
      </w:r>
      <w:r>
        <w:rPr>
          <w:rFonts w:hint="eastAsia" w:ascii="微软雅黑" w:hAnsi="微软雅黑" w:eastAsia="微软雅黑" w:cs="微软雅黑"/>
          <w:sz w:val="24"/>
          <w:szCs w:val="24"/>
        </w:rPr>
        <w:t>%，双师素质教师占专业教师比例为</w:t>
      </w:r>
      <w:r>
        <w:rPr>
          <w:rFonts w:ascii="微软雅黑" w:hAnsi="微软雅黑" w:eastAsia="微软雅黑" w:cs="微软雅黑"/>
          <w:sz w:val="24"/>
          <w:szCs w:val="24"/>
        </w:rPr>
        <w:t>100%</w:t>
      </w:r>
      <w:r>
        <w:rPr>
          <w:rFonts w:hint="eastAsia" w:ascii="微软雅黑" w:hAnsi="微软雅黑" w:eastAsia="微软雅黑" w:cs="微软雅黑"/>
          <w:sz w:val="24"/>
          <w:szCs w:val="24"/>
        </w:rPr>
        <w:t>，学生数与本专业专任教师数比例为</w:t>
      </w:r>
      <w:r>
        <w:rPr>
          <w:rFonts w:ascii="微软雅黑" w:hAnsi="微软雅黑" w:eastAsia="微软雅黑" w:cs="微软雅黑"/>
          <w:sz w:val="24"/>
          <w:szCs w:val="24"/>
        </w:rPr>
        <w:t>25:1</w:t>
      </w:r>
      <w:r>
        <w:rPr>
          <w:rFonts w:hint="eastAsia" w:ascii="微软雅黑" w:hAnsi="微软雅黑" w:eastAsia="微软雅黑" w:cs="微软雅黑"/>
          <w:sz w:val="24"/>
          <w:szCs w:val="24"/>
        </w:rPr>
        <w:t>。专任教师中博士学历1人，硕士学历1</w:t>
      </w:r>
      <w:r>
        <w:rPr>
          <w:rFonts w:ascii="微软雅黑" w:hAnsi="微软雅黑" w:eastAsia="微软雅黑" w:cs="微软雅黑"/>
          <w:sz w:val="24"/>
          <w:szCs w:val="24"/>
        </w:rPr>
        <w:t>0</w:t>
      </w:r>
      <w:r>
        <w:rPr>
          <w:rFonts w:hint="eastAsia" w:ascii="微软雅黑" w:hAnsi="微软雅黑" w:eastAsia="微软雅黑" w:cs="微软雅黑"/>
          <w:sz w:val="24"/>
          <w:szCs w:val="24"/>
        </w:rPr>
        <w:t>人，本科学历1</w:t>
      </w:r>
      <w:r>
        <w:rPr>
          <w:rFonts w:ascii="微软雅黑" w:hAnsi="微软雅黑" w:eastAsia="微软雅黑" w:cs="微软雅黑"/>
          <w:sz w:val="24"/>
          <w:szCs w:val="24"/>
        </w:rPr>
        <w:t>3</w:t>
      </w:r>
      <w:r>
        <w:rPr>
          <w:rFonts w:hint="eastAsia" w:ascii="微软雅黑" w:hAnsi="微软雅黑" w:eastAsia="微软雅黑" w:cs="微软雅黑"/>
          <w:sz w:val="24"/>
          <w:szCs w:val="24"/>
        </w:rPr>
        <w:t>人；教授1名，副教授</w:t>
      </w:r>
      <w:r>
        <w:rPr>
          <w:rFonts w:ascii="微软雅黑" w:hAnsi="微软雅黑" w:eastAsia="微软雅黑" w:cs="微软雅黑"/>
          <w:sz w:val="24"/>
          <w:szCs w:val="24"/>
        </w:rPr>
        <w:t>6</w:t>
      </w:r>
      <w:r>
        <w:rPr>
          <w:rFonts w:hint="eastAsia" w:ascii="微软雅黑" w:hAnsi="微软雅黑" w:eastAsia="微软雅黑" w:cs="微软雅黑"/>
          <w:sz w:val="24"/>
          <w:szCs w:val="24"/>
        </w:rPr>
        <w:t>名，工程师</w:t>
      </w:r>
      <w:r>
        <w:rPr>
          <w:rFonts w:ascii="微软雅黑" w:hAnsi="微软雅黑" w:eastAsia="微软雅黑" w:cs="微软雅黑"/>
          <w:sz w:val="24"/>
          <w:szCs w:val="24"/>
        </w:rPr>
        <w:t>6</w:t>
      </w:r>
      <w:r>
        <w:rPr>
          <w:rFonts w:hint="eastAsia" w:ascii="微软雅黑" w:hAnsi="微软雅黑" w:eastAsia="微软雅黑" w:cs="微软雅黑"/>
          <w:sz w:val="24"/>
          <w:szCs w:val="24"/>
        </w:rPr>
        <w:t>名，讲师</w:t>
      </w:r>
      <w:r>
        <w:rPr>
          <w:rFonts w:ascii="微软雅黑" w:hAnsi="微软雅黑" w:eastAsia="微软雅黑" w:cs="微软雅黑"/>
          <w:sz w:val="24"/>
          <w:szCs w:val="24"/>
        </w:rPr>
        <w:t>6</w:t>
      </w:r>
      <w:r>
        <w:rPr>
          <w:rFonts w:hint="eastAsia" w:ascii="微软雅黑" w:hAnsi="微软雅黑" w:eastAsia="微软雅黑" w:cs="微软雅黑"/>
          <w:sz w:val="24"/>
          <w:szCs w:val="24"/>
        </w:rPr>
        <w:t>名，助教</w:t>
      </w:r>
      <w:r>
        <w:rPr>
          <w:rFonts w:ascii="微软雅黑" w:hAnsi="微软雅黑" w:eastAsia="微软雅黑" w:cs="微软雅黑"/>
          <w:sz w:val="24"/>
          <w:szCs w:val="24"/>
        </w:rPr>
        <w:t>5</w:t>
      </w:r>
      <w:r>
        <w:rPr>
          <w:rFonts w:hint="eastAsia" w:ascii="微软雅黑" w:hAnsi="微软雅黑" w:eastAsia="微软雅黑" w:cs="微软雅黑"/>
          <w:sz w:val="24"/>
          <w:szCs w:val="24"/>
        </w:rPr>
        <w:t>名。高级以上职称</w:t>
      </w:r>
      <w:r>
        <w:rPr>
          <w:rFonts w:ascii="微软雅黑" w:hAnsi="微软雅黑" w:eastAsia="微软雅黑" w:cs="微软雅黑"/>
          <w:sz w:val="24"/>
          <w:szCs w:val="24"/>
        </w:rPr>
        <w:t>7</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24</w:t>
      </w:r>
      <w:r>
        <w:rPr>
          <w:rFonts w:hint="eastAsia" w:ascii="微软雅黑" w:hAnsi="微软雅黑" w:eastAsia="微软雅黑" w:cs="微软雅黑"/>
          <w:sz w:val="24"/>
          <w:szCs w:val="24"/>
        </w:rPr>
        <w:t>%，40岁以上人员</w:t>
      </w:r>
      <w:r>
        <w:rPr>
          <w:rFonts w:ascii="微软雅黑" w:hAnsi="微软雅黑" w:eastAsia="微软雅黑" w:cs="微软雅黑"/>
          <w:sz w:val="24"/>
          <w:szCs w:val="24"/>
        </w:rPr>
        <w:t>10</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41</w:t>
      </w:r>
      <w:r>
        <w:rPr>
          <w:rFonts w:hint="eastAsia" w:ascii="微软雅黑" w:hAnsi="微软雅黑" w:eastAsia="微软雅黑" w:cs="微软雅黑"/>
          <w:sz w:val="24"/>
          <w:szCs w:val="24"/>
        </w:rPr>
        <w:t>.</w:t>
      </w:r>
      <w:r>
        <w:rPr>
          <w:rFonts w:ascii="微软雅黑" w:hAnsi="微软雅黑" w:eastAsia="微软雅黑" w:cs="微软雅黑"/>
          <w:sz w:val="24"/>
          <w:szCs w:val="24"/>
        </w:rPr>
        <w:t>6</w:t>
      </w:r>
      <w:r>
        <w:rPr>
          <w:rFonts w:hint="eastAsia" w:ascii="微软雅黑" w:hAnsi="微软雅黑" w:eastAsia="微软雅黑" w:cs="微软雅黑"/>
          <w:sz w:val="24"/>
          <w:szCs w:val="24"/>
        </w:rPr>
        <w:t>%，40岁以下人员1</w:t>
      </w:r>
      <w:r>
        <w:rPr>
          <w:rFonts w:ascii="微软雅黑" w:hAnsi="微软雅黑" w:eastAsia="微软雅黑" w:cs="微软雅黑"/>
          <w:sz w:val="24"/>
          <w:szCs w:val="24"/>
        </w:rPr>
        <w:t>4</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58.3</w:t>
      </w:r>
      <w:r>
        <w:rPr>
          <w:rFonts w:hint="eastAsia" w:ascii="微软雅黑" w:hAnsi="微软雅黑" w:eastAsia="微软雅黑" w:cs="微软雅黑"/>
          <w:sz w:val="24"/>
          <w:szCs w:val="24"/>
        </w:rPr>
        <w:t>%。师资队伍专兼职比例及梯队结构比较合理，团队骨干力量年轻化。</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2.专任教师</w:t>
      </w:r>
    </w:p>
    <w:p>
      <w:pPr>
        <w:pStyle w:val="4"/>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专任教师均为民航维修类专业或工学专业背景，具有高校教师资格；有理想信念、有道德情操、有扎实学识、有仁爱之心；弘扬和践行当代民航精神；都具有飞机机电设备维修相关专业本科及以上学历；具有扎实的本专业相关理论功底和实践能力；具有较强信息化教学能力，能够开展课程教学改革和科学研究；且每5年累计不少于6个月的企业实践经历。</w:t>
      </w:r>
    </w:p>
    <w:p>
      <w:pPr>
        <w:overflowPunct w:val="0"/>
        <w:adjustRightInd w:val="0"/>
        <w:snapToGrid w:val="0"/>
        <w:spacing w:line="500" w:lineRule="exact"/>
        <w:ind w:left="420" w:leftChars="200"/>
        <w:rPr>
          <w:rFonts w:ascii="微软雅黑" w:hAnsi="微软雅黑" w:eastAsia="微软雅黑" w:cs="微软雅黑"/>
          <w:sz w:val="24"/>
          <w:szCs w:val="24"/>
        </w:rPr>
      </w:pPr>
      <w:r>
        <w:rPr>
          <w:rFonts w:hint="eastAsia" w:ascii="微软雅黑" w:hAnsi="微软雅黑" w:eastAsia="微软雅黑" w:cs="微软雅黑"/>
          <w:sz w:val="24"/>
          <w:szCs w:val="24"/>
        </w:rPr>
        <w:t>3.专业带头人</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专业带头人陈贻明主任毕业于中国民航大学，本科硕士均为航空维修专业，从教12年，副教授职称，持有民用航空器维修人员执照。能够较好地把握国内外行业、专业发展动态，能广泛联系行业企业，了解行业企业对本专业人才的需求实际，教学设计、专业研究能力强，组织开展教科研工作能力强。</w:t>
      </w:r>
    </w:p>
    <w:p>
      <w:pPr>
        <w:overflowPunct w:val="0"/>
        <w:adjustRightInd w:val="0"/>
        <w:snapToGrid w:val="0"/>
        <w:spacing w:line="500" w:lineRule="exact"/>
        <w:ind w:left="420" w:leftChars="200"/>
        <w:rPr>
          <w:rFonts w:ascii="微软雅黑" w:hAnsi="微软雅黑" w:eastAsia="微软雅黑" w:cs="微软雅黑"/>
          <w:sz w:val="24"/>
          <w:szCs w:val="24"/>
        </w:rPr>
      </w:pPr>
      <w:r>
        <w:rPr>
          <w:rFonts w:hint="eastAsia" w:ascii="微软雅黑" w:hAnsi="微软雅黑" w:eastAsia="微软雅黑" w:cs="微软雅黑"/>
          <w:sz w:val="24"/>
          <w:szCs w:val="24"/>
        </w:rPr>
        <w:t>4.兼职教师</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本专业现有兼职教师5名，师资队伍占比1</w:t>
      </w:r>
      <w:r>
        <w:rPr>
          <w:rFonts w:ascii="微软雅黑" w:hAnsi="微软雅黑" w:eastAsia="微软雅黑" w:cs="微软雅黑"/>
          <w:sz w:val="24"/>
          <w:szCs w:val="24"/>
        </w:rPr>
        <w:t>7</w:t>
      </w:r>
      <w:r>
        <w:rPr>
          <w:rFonts w:hint="eastAsia" w:ascii="微软雅黑" w:hAnsi="微软雅黑" w:eastAsia="微软雅黑" w:cs="微软雅黑"/>
          <w:sz w:val="24"/>
          <w:szCs w:val="24"/>
        </w:rPr>
        <w:t>%。兼职教师均从本专业相关的行业企业聘任，具备良好的思想政治素质、职业道德和工匠精神，持有民用航空器维修人员执照,并且是C</w:t>
      </w:r>
      <w:r>
        <w:rPr>
          <w:rFonts w:ascii="微软雅黑" w:hAnsi="微软雅黑" w:eastAsia="微软雅黑" w:cs="微软雅黑"/>
          <w:sz w:val="24"/>
          <w:szCs w:val="24"/>
        </w:rPr>
        <w:t>CAR-147</w:t>
      </w:r>
      <w:r>
        <w:rPr>
          <w:rFonts w:hint="eastAsia" w:ascii="微软雅黑" w:hAnsi="微软雅黑" w:eastAsia="微软雅黑" w:cs="微软雅黑"/>
          <w:sz w:val="24"/>
          <w:szCs w:val="24"/>
        </w:rPr>
        <w:t>授权教员，具备维修执照实作委任考官资格。专业知识扎实，实际工作经验丰富，具有中级及以上相关专业职称，能承担专业课程教学、实习实训指导和学生职业发展规划指导等教学任务。在承担课程教学任务同时，参与相关教改科研课题研究，并不定期举办行业专业讲座，将机务维修一线岗位前沿的知识、资讯和行业作风带进专业教学。</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215" w:name="_Toc27233244"/>
      <w:bookmarkStart w:id="216" w:name="_Toc20556097"/>
      <w:bookmarkStart w:id="217" w:name="_Toc7405"/>
      <w:bookmarkStart w:id="218" w:name="_Toc17448"/>
      <w:bookmarkStart w:id="219" w:name="_Toc6898"/>
      <w:bookmarkStart w:id="220" w:name="_Toc8102"/>
      <w:r>
        <w:rPr>
          <w:rFonts w:hint="eastAsia" w:ascii="微软雅黑" w:hAnsi="微软雅黑" w:eastAsia="微软雅黑" w:cs="微软雅黑"/>
          <w:sz w:val="24"/>
          <w:szCs w:val="24"/>
        </w:rPr>
        <w:t>（二）教学设施</w:t>
      </w:r>
      <w:bookmarkEnd w:id="215"/>
      <w:bookmarkEnd w:id="216"/>
      <w:bookmarkEnd w:id="217"/>
      <w:bookmarkEnd w:id="218"/>
      <w:bookmarkEnd w:id="219"/>
      <w:bookmarkEnd w:id="220"/>
    </w:p>
    <w:p>
      <w:pPr>
        <w:pStyle w:val="15"/>
        <w:adjustRightInd w:val="0"/>
        <w:snapToGrid w:val="0"/>
        <w:spacing w:before="0" w:after="0" w:line="500" w:lineRule="atLeast"/>
        <w:rPr>
          <w:rFonts w:ascii="微软雅黑" w:hAnsi="微软雅黑" w:eastAsia="微软雅黑"/>
          <w:color w:val="000099"/>
          <w:sz w:val="24"/>
          <w:szCs w:val="24"/>
        </w:rPr>
      </w:pPr>
      <w:bookmarkStart w:id="221" w:name="_Toc21738"/>
      <w:bookmarkStart w:id="222" w:name="_Toc16435"/>
      <w:bookmarkStart w:id="223" w:name="_Toc30532"/>
      <w:bookmarkStart w:id="224" w:name="_Toc21430"/>
      <w:bookmarkStart w:id="225" w:name="_Toc30380"/>
      <w:r>
        <w:rPr>
          <w:rFonts w:hint="eastAsia" w:ascii="微软雅黑" w:hAnsi="微软雅黑" w:eastAsia="微软雅黑"/>
          <w:color w:val="000099"/>
          <w:sz w:val="24"/>
          <w:szCs w:val="24"/>
        </w:rPr>
        <w:t>表11校内实训条件配置与要求</w:t>
      </w:r>
      <w:bookmarkEnd w:id="221"/>
      <w:bookmarkEnd w:id="222"/>
      <w:bookmarkEnd w:id="223"/>
      <w:bookmarkEnd w:id="224"/>
      <w:bookmarkEnd w:id="225"/>
    </w:p>
    <w:tbl>
      <w:tblPr>
        <w:tblStyle w:val="17"/>
        <w:tblW w:w="47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426"/>
        <w:gridCol w:w="788"/>
        <w:gridCol w:w="1593"/>
        <w:gridCol w:w="1569"/>
        <w:gridCol w:w="760"/>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818"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实训室名称</w:t>
            </w:r>
          </w:p>
        </w:tc>
        <w:tc>
          <w:tcPr>
            <w:tcW w:w="452"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实训面积</w:t>
            </w:r>
          </w:p>
        </w:tc>
        <w:tc>
          <w:tcPr>
            <w:tcW w:w="914"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实训功能</w:t>
            </w:r>
          </w:p>
        </w:tc>
        <w:tc>
          <w:tcPr>
            <w:tcW w:w="900"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主要设备配置</w:t>
            </w:r>
          </w:p>
        </w:tc>
        <w:tc>
          <w:tcPr>
            <w:tcW w:w="436"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Times New Roman"/>
                <w:b/>
                <w:szCs w:val="21"/>
              </w:rPr>
            </w:pPr>
            <w:r>
              <w:rPr>
                <w:rFonts w:hint="eastAsia" w:ascii="微软雅黑" w:hAnsi="微软雅黑" w:eastAsia="微软雅黑" w:cs="微软雅黑"/>
                <w:b/>
                <w:szCs w:val="21"/>
              </w:rPr>
              <w:t>设备价值</w:t>
            </w:r>
          </w:p>
        </w:tc>
        <w:tc>
          <w:tcPr>
            <w:tcW w:w="1084"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主要服务的课程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电子实验室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模电、数电实验</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示波器、信号发生器、试验箱</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13.48</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2</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电子实训室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电子焊接实训</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焊接套件、电子综合实训试验台</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15.54</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3</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电工实训室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电工、电气、线路实训</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电工实训考核装置、电工实训套件、电机</w:t>
            </w:r>
          </w:p>
        </w:tc>
        <w:tc>
          <w:tcPr>
            <w:tcW w:w="436" w:type="pct"/>
            <w:vAlign w:val="center"/>
          </w:tcPr>
          <w:p>
            <w:pPr>
              <w:overflowPunct w:val="0"/>
              <w:adjustRightInd w:val="0"/>
              <w:snapToGrid w:val="0"/>
              <w:spacing w:line="240" w:lineRule="atLeast"/>
              <w:jc w:val="center"/>
              <w:rPr>
                <w:rFonts w:ascii="宋体" w:hAnsi="宋体"/>
              </w:rPr>
            </w:pPr>
            <w:r>
              <w:rPr>
                <w:rFonts w:hint="eastAsia" w:eastAsia="方正仿宋_GBK"/>
              </w:rPr>
              <w:t>16.32</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4</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液压实验室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液压原理实验、液压元件拆装</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液压试验台</w:t>
            </w:r>
          </w:p>
        </w:tc>
        <w:tc>
          <w:tcPr>
            <w:tcW w:w="436" w:type="pct"/>
            <w:vAlign w:val="center"/>
          </w:tcPr>
          <w:p>
            <w:pPr>
              <w:overflowPunct w:val="0"/>
              <w:adjustRightInd w:val="0"/>
              <w:snapToGrid w:val="0"/>
              <w:spacing w:line="240" w:lineRule="atLeast"/>
              <w:jc w:val="center"/>
              <w:rPr>
                <w:rFonts w:eastAsia="方正仿宋_GBK"/>
              </w:rPr>
            </w:pPr>
            <w:r>
              <w:rPr>
                <w:rFonts w:hint="eastAsia" w:eastAsia="方正仿宋_GBK"/>
              </w:rPr>
              <w:t>0.7</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5</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电气系统实践教室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飞机电器系统原理的讲解及部件认知</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飞机电气系统航材</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65</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6</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飞机机体实践教室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飞机结构、机械系统原理的讲解及部件认知</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飞机结构件、飞机机械系统航材</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11.3</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飞机结构基础</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7</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电子系统实践教室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飞机电子系统原理的讲解及部件认知</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飞机电子系统航材</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73</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动力装置实践教室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动力装置结构和原理的讲解及部件认知</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动力装置航材</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15.3</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航空涡轮发动机原理与构造</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活塞发动机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9</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C</w:t>
            </w:r>
            <w:r>
              <w:rPr>
                <w:rFonts w:ascii="微软雅黑" w:hAnsi="微软雅黑" w:eastAsia="微软雅黑" w:cs="微软雅黑"/>
                <w:bCs/>
                <w:sz w:val="18"/>
                <w:szCs w:val="18"/>
              </w:rPr>
              <w:t>BT</w:t>
            </w:r>
            <w:r>
              <w:rPr>
                <w:rFonts w:hint="eastAsia" w:ascii="微软雅黑" w:hAnsi="微软雅黑" w:eastAsia="微软雅黑" w:cs="微软雅黑"/>
                <w:bCs/>
                <w:sz w:val="18"/>
                <w:szCs w:val="18"/>
              </w:rPr>
              <w:t>实训室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飞机系统工作逻辑教学</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电脑、C</w:t>
            </w:r>
            <w:r>
              <w:rPr>
                <w:rFonts w:ascii="微软雅黑" w:hAnsi="微软雅黑" w:eastAsia="微软雅黑" w:cs="微软雅黑"/>
                <w:bCs/>
                <w:sz w:val="18"/>
                <w:szCs w:val="18"/>
              </w:rPr>
              <w:t>BT</w:t>
            </w:r>
            <w:r>
              <w:rPr>
                <w:rFonts w:hint="eastAsia" w:ascii="微软雅黑" w:hAnsi="微软雅黑" w:eastAsia="微软雅黑" w:cs="微软雅黑"/>
                <w:bCs/>
                <w:sz w:val="18"/>
                <w:szCs w:val="18"/>
              </w:rPr>
              <w:t>系统</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1</w:t>
            </w:r>
            <w:r>
              <w:rPr>
                <w:rFonts w:ascii="宋体" w:hAnsi="宋体"/>
              </w:rPr>
              <w:t>00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1</w:t>
            </w:r>
            <w:r>
              <w:rPr>
                <w:rFonts w:hint="eastAsia" w:ascii="微软雅黑" w:hAnsi="微软雅黑" w:eastAsia="微软雅黑" w:cs="微软雅黑"/>
                <w:bCs/>
                <w:sz w:val="18"/>
                <w:szCs w:val="18"/>
              </w:rPr>
              <w:t>0</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飞机发动机实训室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飞机发动机部件维修实训</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涡桨5发动机、活塞5发动机</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70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航空涡轮发动机原理与构造</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活塞发动机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1</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实训飞机</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1800</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飞机系统维修实践</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运七、多尼尔3</w:t>
            </w:r>
            <w:r>
              <w:rPr>
                <w:rFonts w:ascii="微软雅黑" w:hAnsi="微软雅黑" w:eastAsia="微软雅黑" w:cs="微软雅黑"/>
                <w:bCs/>
                <w:sz w:val="18"/>
                <w:szCs w:val="18"/>
              </w:rPr>
              <w:t>28</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3</w:t>
            </w:r>
            <w:r>
              <w:rPr>
                <w:rFonts w:ascii="宋体" w:hAnsi="宋体"/>
              </w:rPr>
              <w:t>200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维护技术实践教室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综合实践课程理论讲解</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3</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工具设备存放；工具、航材和消耗品借还训练</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工具设备、消耗品</w:t>
            </w:r>
          </w:p>
        </w:tc>
        <w:tc>
          <w:tcPr>
            <w:tcW w:w="436" w:type="pct"/>
            <w:vAlign w:val="center"/>
          </w:tcPr>
          <w:p>
            <w:pPr>
              <w:overflowPunct w:val="0"/>
              <w:adjustRightInd w:val="0"/>
              <w:snapToGrid w:val="0"/>
              <w:spacing w:line="240" w:lineRule="atLeast"/>
              <w:jc w:val="center"/>
              <w:rPr>
                <w:rFonts w:ascii="宋体" w:hAnsi="宋体"/>
              </w:rPr>
            </w:pPr>
            <w:r>
              <w:rPr>
                <w:rFonts w:hint="eastAsia" w:ascii="宋体" w:hAnsi="宋体"/>
              </w:rPr>
              <w:t>162</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4</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资料室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机型的维修手册查询实训</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飞机手册、电脑</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95</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5</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维修基本技能实训室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紧固件保险、铆接、管路等基本技能训练</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紧固件保险练习装置、操纵系统模拟训练装置、管路施工平台、传动机构调节训练台</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158</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6</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停机坪</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000</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航空维修技术实践</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机坪区域标线、围栏</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50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7</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机库</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000</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执照培训、执照考试</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boeing7</w:t>
            </w:r>
            <w:r>
              <w:rPr>
                <w:rFonts w:ascii="微软雅黑" w:hAnsi="微软雅黑" w:eastAsia="微软雅黑" w:cs="微软雅黑"/>
                <w:bCs/>
                <w:sz w:val="18"/>
                <w:szCs w:val="18"/>
              </w:rPr>
              <w:t>37</w:t>
            </w:r>
            <w:r>
              <w:rPr>
                <w:rFonts w:hint="eastAsia" w:ascii="微软雅黑" w:hAnsi="微软雅黑" w:eastAsia="微软雅黑" w:cs="微软雅黑"/>
                <w:bCs/>
                <w:sz w:val="18"/>
                <w:szCs w:val="18"/>
              </w:rPr>
              <w:t>、莱康明发动机</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8</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机型2</w:t>
            </w:r>
            <w:r>
              <w:rPr>
                <w:rFonts w:ascii="微软雅黑" w:hAnsi="微软雅黑" w:eastAsia="微软雅黑" w:cs="微软雅黑"/>
                <w:bCs/>
                <w:sz w:val="18"/>
                <w:szCs w:val="18"/>
              </w:rPr>
              <w:t>D</w:t>
            </w:r>
            <w:r>
              <w:rPr>
                <w:rFonts w:hint="eastAsia" w:ascii="微软雅黑" w:hAnsi="微软雅黑" w:eastAsia="微软雅黑" w:cs="微软雅黑"/>
                <w:bCs/>
                <w:sz w:val="18"/>
                <w:szCs w:val="18"/>
              </w:rPr>
              <w:t>教室</w:t>
            </w:r>
          </w:p>
        </w:tc>
        <w:tc>
          <w:tcPr>
            <w:tcW w:w="45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91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飞机系统与动力装置操纵与测试实践</w:t>
            </w:r>
          </w:p>
        </w:tc>
        <w:tc>
          <w:tcPr>
            <w:tcW w:w="900"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电脑、波音空客机型培训软件</w:t>
            </w:r>
          </w:p>
        </w:tc>
        <w:tc>
          <w:tcPr>
            <w:tcW w:w="43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00</w:t>
            </w:r>
          </w:p>
        </w:tc>
        <w:tc>
          <w:tcPr>
            <w:tcW w:w="1084"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飞机机械系统、飞机电气系统、飞机电子系统、航空涡轮发动机系统与控制</w:t>
            </w:r>
          </w:p>
        </w:tc>
      </w:tr>
    </w:tbl>
    <w:p>
      <w:pPr>
        <w:overflowPunct w:val="0"/>
        <w:adjustRightInd w:val="0"/>
        <w:snapToGrid w:val="0"/>
        <w:spacing w:line="500" w:lineRule="exact"/>
        <w:rPr>
          <w:rFonts w:ascii="微软雅黑" w:hAnsi="微软雅黑" w:eastAsia="微软雅黑" w:cs="微软雅黑"/>
          <w:bCs/>
          <w:sz w:val="24"/>
          <w:szCs w:val="24"/>
        </w:rPr>
      </w:pP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26" w:name="_Toc27233245"/>
      <w:bookmarkStart w:id="227" w:name="_Toc4640"/>
      <w:bookmarkStart w:id="228" w:name="_Toc20556098"/>
      <w:bookmarkStart w:id="229" w:name="_Toc10485"/>
      <w:bookmarkStart w:id="230" w:name="_Toc6419"/>
      <w:bookmarkStart w:id="231" w:name="_Toc29292"/>
      <w:r>
        <w:rPr>
          <w:rFonts w:hint="eastAsia" w:ascii="微软雅黑" w:hAnsi="微软雅黑" w:eastAsia="微软雅黑" w:cs="微软雅黑"/>
          <w:sz w:val="24"/>
          <w:szCs w:val="24"/>
        </w:rPr>
        <w:t>（三）教学资源</w:t>
      </w:r>
      <w:bookmarkEnd w:id="226"/>
      <w:bookmarkEnd w:id="227"/>
      <w:bookmarkEnd w:id="228"/>
      <w:bookmarkEnd w:id="229"/>
      <w:bookmarkEnd w:id="230"/>
      <w:bookmarkEnd w:id="231"/>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1.教材选用与编写</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本专业教材均按照国家规定选用优质教材及民用航空维修执照教材。</w:t>
      </w:r>
      <w:bookmarkStart w:id="232" w:name="_Hlk25746445"/>
      <w:r>
        <w:rPr>
          <w:rFonts w:hint="eastAsia" w:ascii="微软雅黑" w:hAnsi="微软雅黑" w:eastAsia="微软雅黑" w:cs="微软雅黑"/>
          <w:bCs/>
          <w:sz w:val="24"/>
          <w:szCs w:val="24"/>
        </w:rPr>
        <w:t>本专业教师积极开发自编教材、实验指导书、工卡及习题册等</w:t>
      </w:r>
      <w:bookmarkEnd w:id="232"/>
      <w:r>
        <w:rPr>
          <w:rFonts w:hint="eastAsia" w:ascii="微软雅黑" w:hAnsi="微软雅黑" w:eastAsia="微软雅黑" w:cs="微软雅黑"/>
          <w:bCs/>
          <w:sz w:val="24"/>
          <w:szCs w:val="24"/>
        </w:rPr>
        <w:t>，不断完善教材选用制度，经过规范程序择优选用教材。</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2.图书文献配备</w:t>
      </w:r>
    </w:p>
    <w:p>
      <w:pPr>
        <w:overflowPunct w:val="0"/>
        <w:adjustRightInd w:val="0"/>
        <w:snapToGrid w:val="0"/>
        <w:spacing w:line="500" w:lineRule="exact"/>
        <w:ind w:firstLine="480" w:firstLineChars="200"/>
        <w:rPr>
          <w:rFonts w:ascii="微软雅黑" w:hAnsi="微软雅黑" w:eastAsia="微软雅黑" w:cs="微软雅黑"/>
          <w:bCs/>
          <w:sz w:val="24"/>
          <w:szCs w:val="24"/>
        </w:rPr>
      </w:pPr>
      <w:bookmarkStart w:id="233" w:name="_Hlk25746475"/>
      <w:r>
        <w:rPr>
          <w:rFonts w:hint="eastAsia" w:ascii="微软雅黑" w:hAnsi="微软雅黑" w:eastAsia="微软雅黑" w:cs="微软雅黑"/>
          <w:bCs/>
          <w:sz w:val="24"/>
          <w:szCs w:val="24"/>
        </w:rPr>
        <w:t>学校图书馆可提供大量专业图书及网络资源。本专业自有图书资料室文献能满足人才培养、专业建设、教科研等工作的需要，方便师生查询、借阅。</w:t>
      </w:r>
      <w:bookmarkEnd w:id="233"/>
      <w:r>
        <w:rPr>
          <w:rFonts w:hint="eastAsia" w:ascii="微软雅黑" w:hAnsi="微软雅黑" w:eastAsia="微软雅黑" w:cs="微软雅黑"/>
          <w:bCs/>
          <w:sz w:val="24"/>
          <w:szCs w:val="24"/>
        </w:rPr>
        <w:t>专业类图书文献主要包括：民用航空器维修政策法规、行业标准、职业标准、B</w:t>
      </w:r>
      <w:r>
        <w:rPr>
          <w:rFonts w:ascii="微软雅黑" w:hAnsi="微软雅黑" w:eastAsia="微软雅黑" w:cs="微软雅黑"/>
          <w:bCs/>
          <w:sz w:val="24"/>
          <w:szCs w:val="24"/>
        </w:rPr>
        <w:t>737</w:t>
      </w:r>
      <w:r>
        <w:rPr>
          <w:rFonts w:hint="eastAsia" w:ascii="微软雅黑" w:hAnsi="微软雅黑" w:eastAsia="微软雅黑" w:cs="微软雅黑"/>
          <w:bCs/>
          <w:sz w:val="24"/>
          <w:szCs w:val="24"/>
        </w:rPr>
        <w:t>、A</w:t>
      </w:r>
      <w:r>
        <w:rPr>
          <w:rFonts w:ascii="微软雅黑" w:hAnsi="微软雅黑" w:eastAsia="微软雅黑" w:cs="微软雅黑"/>
          <w:bCs/>
          <w:sz w:val="24"/>
          <w:szCs w:val="24"/>
        </w:rPr>
        <w:t>320</w:t>
      </w:r>
      <w:r>
        <w:rPr>
          <w:rFonts w:hint="eastAsia" w:ascii="微软雅黑" w:hAnsi="微软雅黑" w:eastAsia="微软雅黑" w:cs="微软雅黑"/>
          <w:bCs/>
          <w:sz w:val="24"/>
          <w:szCs w:val="24"/>
        </w:rPr>
        <w:t>、Y-</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等机型维护手册、飞机系统原理图手册等民用航空器维修必备的维修资料。</w:t>
      </w:r>
    </w:p>
    <w:p>
      <w:pPr>
        <w:overflowPunct w:val="0"/>
        <w:adjustRightInd w:val="0"/>
        <w:snapToGrid w:val="0"/>
        <w:spacing w:line="500" w:lineRule="exact"/>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3.数字资源配备等</w:t>
      </w:r>
      <w:bookmarkStart w:id="234" w:name="_Toc5459"/>
      <w:bookmarkStart w:id="235" w:name="_Toc18899"/>
      <w:bookmarkStart w:id="236" w:name="_Toc27233246"/>
      <w:bookmarkStart w:id="237" w:name="_Toc20556099"/>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本专业配备有相关的音视频素材、教学课件、数字化教学案例库、虚拟仿真软件、数字教材等专业教学资源库，种类丰富、形式多样、使用便捷、动态更新，能满足教学要求。</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38" w:name="_Toc748"/>
      <w:bookmarkStart w:id="239" w:name="_Toc27362"/>
      <w:r>
        <w:rPr>
          <w:rFonts w:hint="eastAsia" w:ascii="微软雅黑" w:hAnsi="微软雅黑" w:eastAsia="微软雅黑" w:cs="微软雅黑"/>
          <w:sz w:val="24"/>
          <w:szCs w:val="24"/>
        </w:rPr>
        <w:t>（四）教学方法</w:t>
      </w:r>
      <w:bookmarkEnd w:id="234"/>
      <w:bookmarkEnd w:id="235"/>
      <w:bookmarkEnd w:id="236"/>
      <w:bookmarkEnd w:id="237"/>
      <w:bookmarkEnd w:id="238"/>
      <w:bookmarkEnd w:id="239"/>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按照“以胜任职业岗位（群）需要为目标，以综合职业能力培养为主线，以满足用人单位要求为质量标准”的原则，课程体系总体采取基于“工作过程系统化”的学习领域课程开发方法，遵循“确定专业面对的工作岗位或岗位群——典型工作任务分析——行动领域描述——职业能力归纳分类——学习领域归纳——学习情境开发”这样一条逻辑顺序，重构飞机机电设备维修专业的课程体系。</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参考海航集团大新华技术有限公司制订的岗位说明书、维修管理手册、维修程序手册、维修人员训练大纲、维修作业标准等文件资料，同时根据民航主流机型飞机维修手册（AMM）中各系统维修工作任务汇总，结合专家访谈，归纳出民航机务维修岗位群的典型工作任务和相应的职业行动领域描述。进一步分析维修人员完成典型工作任务必须具备的职业能力和职业发展需求，确定了专业人才培养规格。</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根据航空维修岗位的工作过程分析和专业人才培养目标定位，以突出航空器维修岗位综合职业能力培养为主线，将典型工作与飞机各系统组合形成的工作任务，结合民航行业飞机系统分类惯例，组成机体及机械系统、飞机动力装置、飞机电气系统和飞机电子系统四大学习领域课程。同时在四大学习领域课程中将飞机各功能系统定为子学习领域，对各子学习领域进行教学设计，形成系列学习情境。</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40" w:name="_Toc21320"/>
      <w:bookmarkStart w:id="241" w:name="_Toc20556100"/>
      <w:bookmarkStart w:id="242" w:name="_Toc29820"/>
      <w:bookmarkStart w:id="243" w:name="_Toc29270"/>
      <w:bookmarkStart w:id="244" w:name="_Toc3474"/>
      <w:bookmarkStart w:id="245" w:name="_Toc27233247"/>
      <w:r>
        <w:rPr>
          <w:rFonts w:hint="eastAsia" w:ascii="微软雅黑" w:hAnsi="微软雅黑" w:eastAsia="微软雅黑" w:cs="微软雅黑"/>
          <w:sz w:val="24"/>
          <w:szCs w:val="24"/>
        </w:rPr>
        <w:t>（五）学习评价</w:t>
      </w:r>
      <w:bookmarkEnd w:id="240"/>
      <w:bookmarkEnd w:id="241"/>
      <w:bookmarkEnd w:id="242"/>
      <w:bookmarkEnd w:id="243"/>
      <w:bookmarkEnd w:id="244"/>
      <w:bookmarkEnd w:id="245"/>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以子学习领域为单元进行阶段性考核，综合评价学生学习程度。阶段性考核主要评价学生的知识掌握、学习态度、职业素质养成及技能操作情况，终结性考核主要评价学生的整体知识掌握及语言表达的情况。各考核项目所占比例如下：</w:t>
      </w:r>
    </w:p>
    <w:p>
      <w:pPr>
        <w:pStyle w:val="15"/>
        <w:adjustRightInd w:val="0"/>
        <w:snapToGrid w:val="0"/>
        <w:spacing w:before="0" w:after="0" w:line="500" w:lineRule="atLeast"/>
        <w:rPr>
          <w:rFonts w:ascii="微软雅黑" w:hAnsi="微软雅黑" w:eastAsia="微软雅黑"/>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60"/>
        <w:gridCol w:w="1260"/>
        <w:gridCol w:w="3012"/>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3835" w:type="dxa"/>
            <w:gridSpan w:val="3"/>
            <w:vAlign w:val="center"/>
          </w:tcPr>
          <w:p>
            <w:pPr>
              <w:spacing w:line="440" w:lineRule="exact"/>
              <w:jc w:val="center"/>
              <w:rPr>
                <w:rFonts w:ascii="宋体" w:cs="宋体"/>
                <w:b/>
                <w:bCs/>
              </w:rPr>
            </w:pPr>
            <w:bookmarkStart w:id="246" w:name="_Hlk25746627"/>
            <w:r>
              <w:rPr>
                <w:rFonts w:hint="eastAsia" w:ascii="宋体" w:hAnsi="宋体" w:cs="宋体"/>
                <w:b/>
                <w:bCs/>
              </w:rPr>
              <w:t>考核项目</w:t>
            </w:r>
          </w:p>
        </w:tc>
        <w:tc>
          <w:tcPr>
            <w:tcW w:w="4687" w:type="dxa"/>
            <w:gridSpan w:val="2"/>
            <w:vAlign w:val="center"/>
          </w:tcPr>
          <w:p>
            <w:pPr>
              <w:spacing w:line="440" w:lineRule="exact"/>
              <w:jc w:val="center"/>
              <w:rPr>
                <w:rFonts w:ascii="宋体" w:cs="宋体"/>
                <w:b/>
                <w:bCs/>
              </w:rPr>
            </w:pPr>
            <w:r>
              <w:rPr>
                <w:rFonts w:hint="eastAsia" w:ascii="宋体" w:hAnsi="宋体" w:cs="宋体"/>
                <w:b/>
                <w:bCs/>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restart"/>
            <w:vAlign w:val="center"/>
          </w:tcPr>
          <w:p>
            <w:pPr>
              <w:spacing w:after="120" w:line="440" w:lineRule="exact"/>
              <w:jc w:val="center"/>
              <w:rPr>
                <w:rFonts w:ascii="宋体" w:cs="宋体"/>
                <w:b/>
                <w:bCs/>
              </w:rPr>
            </w:pPr>
            <w:r>
              <w:rPr>
                <w:rFonts w:hint="eastAsia" w:ascii="宋体" w:hAnsi="宋体" w:cs="宋体"/>
                <w:b/>
                <w:bCs/>
              </w:rPr>
              <w:t>阶段性考核</w:t>
            </w:r>
          </w:p>
        </w:tc>
        <w:tc>
          <w:tcPr>
            <w:tcW w:w="1260" w:type="dxa"/>
            <w:vMerge w:val="restart"/>
            <w:vAlign w:val="center"/>
          </w:tcPr>
          <w:p>
            <w:pPr>
              <w:spacing w:after="120" w:line="440" w:lineRule="exact"/>
              <w:rPr>
                <w:rFonts w:ascii="宋体" w:cs="宋体"/>
                <w:kern w:val="0"/>
              </w:rPr>
            </w:pPr>
            <w:r>
              <w:rPr>
                <w:rFonts w:hint="eastAsia" w:ascii="宋体" w:hAnsi="宋体" w:cs="宋体"/>
                <w:kern w:val="0"/>
              </w:rPr>
              <w:t>理论项目</w:t>
            </w:r>
          </w:p>
        </w:tc>
        <w:tc>
          <w:tcPr>
            <w:tcW w:w="1260" w:type="dxa"/>
            <w:vAlign w:val="center"/>
          </w:tcPr>
          <w:p>
            <w:pPr>
              <w:spacing w:after="120" w:line="440" w:lineRule="exact"/>
              <w:rPr>
                <w:rFonts w:ascii="宋体" w:cs="宋体"/>
                <w:kern w:val="0"/>
              </w:rPr>
            </w:pPr>
            <w:r>
              <w:rPr>
                <w:rFonts w:hint="eastAsia" w:ascii="宋体" w:hAnsi="宋体" w:cs="宋体"/>
                <w:kern w:val="0"/>
              </w:rPr>
              <w:t>知识掌握</w:t>
            </w:r>
          </w:p>
        </w:tc>
        <w:tc>
          <w:tcPr>
            <w:tcW w:w="3012" w:type="dxa"/>
            <w:vAlign w:val="center"/>
          </w:tcPr>
          <w:p>
            <w:pPr>
              <w:spacing w:after="120" w:line="440" w:lineRule="exact"/>
              <w:ind w:firstLine="1260" w:firstLineChars="600"/>
              <w:rPr>
                <w:rFonts w:ascii="宋体" w:cs="宋体"/>
                <w:kern w:val="0"/>
              </w:rPr>
            </w:pPr>
            <w:r>
              <w:rPr>
                <w:rFonts w:ascii="宋体" w:hAnsi="宋体" w:cs="宋体"/>
                <w:kern w:val="0"/>
              </w:rPr>
              <w:t>10%</w:t>
            </w:r>
          </w:p>
        </w:tc>
        <w:tc>
          <w:tcPr>
            <w:tcW w:w="1675" w:type="dxa"/>
            <w:vMerge w:val="restart"/>
            <w:vAlign w:val="center"/>
          </w:tcPr>
          <w:p>
            <w:pPr>
              <w:spacing w:after="120" w:line="440" w:lineRule="exact"/>
              <w:jc w:val="center"/>
              <w:rPr>
                <w:rFonts w:ascii="宋体" w:cs="宋体"/>
              </w:rPr>
            </w:pPr>
            <w:r>
              <w:rPr>
                <w:rFonts w:ascii="宋体" w:hAnsi="宋体" w:cs="宋体"/>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continue"/>
            <w:vAlign w:val="center"/>
          </w:tcPr>
          <w:p>
            <w:pPr>
              <w:spacing w:after="120" w:line="440" w:lineRule="exact"/>
              <w:jc w:val="center"/>
              <w:rPr>
                <w:rFonts w:ascii="宋体" w:hAnsi="宋体" w:cs="宋体"/>
                <w:b/>
                <w:bCs/>
              </w:rPr>
            </w:pPr>
          </w:p>
        </w:tc>
        <w:tc>
          <w:tcPr>
            <w:tcW w:w="1260" w:type="dxa"/>
            <w:vMerge w:val="continue"/>
            <w:vAlign w:val="center"/>
          </w:tcPr>
          <w:p>
            <w:pPr>
              <w:spacing w:after="120" w:line="440" w:lineRule="exact"/>
              <w:rPr>
                <w:rFonts w:ascii="宋体" w:hAnsi="宋体" w:cs="宋体"/>
                <w:kern w:val="0"/>
              </w:rPr>
            </w:pPr>
          </w:p>
        </w:tc>
        <w:tc>
          <w:tcPr>
            <w:tcW w:w="1260" w:type="dxa"/>
            <w:vAlign w:val="center"/>
          </w:tcPr>
          <w:p>
            <w:pPr>
              <w:spacing w:after="120" w:line="440" w:lineRule="exact"/>
              <w:rPr>
                <w:rFonts w:ascii="宋体" w:hAnsi="宋体" w:cs="宋体"/>
                <w:kern w:val="0"/>
              </w:rPr>
            </w:pPr>
            <w:r>
              <w:rPr>
                <w:rFonts w:hint="eastAsia" w:ascii="宋体" w:hAnsi="宋体" w:cs="宋体"/>
                <w:kern w:val="0"/>
              </w:rPr>
              <w:t>学习态度</w:t>
            </w:r>
          </w:p>
        </w:tc>
        <w:tc>
          <w:tcPr>
            <w:tcW w:w="3012" w:type="dxa"/>
            <w:vAlign w:val="center"/>
          </w:tcPr>
          <w:p>
            <w:pPr>
              <w:spacing w:after="120" w:line="440" w:lineRule="exact"/>
              <w:ind w:firstLine="1260" w:firstLineChars="600"/>
              <w:rPr>
                <w:rFonts w:ascii="宋体" w:hAnsi="宋体" w:cs="宋体"/>
                <w:kern w:val="0"/>
              </w:rPr>
            </w:pPr>
            <w:r>
              <w:rPr>
                <w:rFonts w:hint="eastAsia" w:ascii="宋体" w:hAnsi="宋体" w:cs="宋体"/>
                <w:kern w:val="0"/>
              </w:rPr>
              <w:t>1</w:t>
            </w:r>
            <w:r>
              <w:rPr>
                <w:rFonts w:ascii="宋体" w:hAnsi="宋体" w:cs="宋体"/>
                <w:kern w:val="0"/>
              </w:rPr>
              <w:t>0</w:t>
            </w:r>
            <w:r>
              <w:rPr>
                <w:rFonts w:hint="eastAsia" w:ascii="宋体" w:hAnsi="宋体" w:cs="宋体"/>
                <w:kern w:val="0"/>
              </w:rPr>
              <w:t>%</w:t>
            </w:r>
          </w:p>
        </w:tc>
        <w:tc>
          <w:tcPr>
            <w:tcW w:w="1675" w:type="dxa"/>
            <w:vMerge w:val="continue"/>
            <w:vAlign w:val="center"/>
          </w:tcPr>
          <w:p>
            <w:pPr>
              <w:spacing w:after="120" w:line="44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continue"/>
            <w:vAlign w:val="center"/>
          </w:tcPr>
          <w:p>
            <w:pPr>
              <w:spacing w:after="120" w:line="440" w:lineRule="exact"/>
              <w:jc w:val="center"/>
              <w:rPr>
                <w:rFonts w:ascii="宋体" w:cs="宋体"/>
                <w:b/>
                <w:bCs/>
              </w:rPr>
            </w:pPr>
          </w:p>
        </w:tc>
        <w:tc>
          <w:tcPr>
            <w:tcW w:w="1260" w:type="dxa"/>
            <w:vMerge w:val="continue"/>
            <w:vAlign w:val="center"/>
          </w:tcPr>
          <w:p>
            <w:pPr>
              <w:spacing w:after="120" w:line="440" w:lineRule="exact"/>
              <w:rPr>
                <w:rFonts w:ascii="宋体" w:cs="宋体"/>
                <w:kern w:val="0"/>
              </w:rPr>
            </w:pPr>
          </w:p>
        </w:tc>
        <w:tc>
          <w:tcPr>
            <w:tcW w:w="1260" w:type="dxa"/>
            <w:vAlign w:val="center"/>
          </w:tcPr>
          <w:p>
            <w:pPr>
              <w:spacing w:after="120" w:line="440" w:lineRule="exact"/>
              <w:rPr>
                <w:rFonts w:ascii="宋体" w:cs="宋体"/>
                <w:kern w:val="0"/>
              </w:rPr>
            </w:pPr>
            <w:r>
              <w:rPr>
                <w:rFonts w:hint="eastAsia" w:ascii="宋体" w:hAnsi="宋体" w:cs="宋体"/>
                <w:kern w:val="0"/>
              </w:rPr>
              <w:t>职业素养</w:t>
            </w:r>
          </w:p>
        </w:tc>
        <w:tc>
          <w:tcPr>
            <w:tcW w:w="3012" w:type="dxa"/>
            <w:vAlign w:val="center"/>
          </w:tcPr>
          <w:p>
            <w:pPr>
              <w:spacing w:after="120" w:line="440" w:lineRule="exact"/>
              <w:ind w:firstLine="1260" w:firstLineChars="600"/>
              <w:rPr>
                <w:rFonts w:ascii="宋体" w:cs="宋体"/>
                <w:kern w:val="0"/>
              </w:rPr>
            </w:pPr>
            <w:r>
              <w:rPr>
                <w:rFonts w:ascii="宋体" w:hAnsi="宋体" w:cs="宋体"/>
                <w:kern w:val="0"/>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restart"/>
            <w:vAlign w:val="center"/>
          </w:tcPr>
          <w:p>
            <w:pPr>
              <w:spacing w:after="120" w:line="440" w:lineRule="exact"/>
              <w:rPr>
                <w:rFonts w:ascii="宋体" w:cs="宋体"/>
              </w:rPr>
            </w:pPr>
            <w:r>
              <w:rPr>
                <w:rFonts w:hint="eastAsia" w:ascii="宋体" w:hAnsi="宋体" w:cs="宋体"/>
              </w:rPr>
              <w:t>实践项目</w:t>
            </w:r>
          </w:p>
        </w:tc>
        <w:tc>
          <w:tcPr>
            <w:tcW w:w="1260" w:type="dxa"/>
            <w:vAlign w:val="center"/>
          </w:tcPr>
          <w:p>
            <w:pPr>
              <w:spacing w:after="120" w:line="440" w:lineRule="exact"/>
              <w:rPr>
                <w:rFonts w:ascii="宋体" w:cs="宋体"/>
              </w:rPr>
            </w:pPr>
            <w:r>
              <w:rPr>
                <w:rFonts w:hint="eastAsia" w:ascii="宋体" w:cs="宋体"/>
              </w:rPr>
              <w:t>技能操作</w:t>
            </w:r>
          </w:p>
        </w:tc>
        <w:tc>
          <w:tcPr>
            <w:tcW w:w="3012" w:type="dxa"/>
            <w:vAlign w:val="center"/>
          </w:tcPr>
          <w:p>
            <w:pPr>
              <w:spacing w:after="120" w:line="440" w:lineRule="exact"/>
              <w:jc w:val="center"/>
              <w:rPr>
                <w:rFonts w:asci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continue"/>
            <w:vAlign w:val="center"/>
          </w:tcPr>
          <w:p>
            <w:pPr>
              <w:spacing w:after="120" w:line="440" w:lineRule="exact"/>
              <w:rPr>
                <w:rFonts w:ascii="宋体" w:cs="宋体"/>
              </w:rPr>
            </w:pPr>
          </w:p>
        </w:tc>
        <w:tc>
          <w:tcPr>
            <w:tcW w:w="1260" w:type="dxa"/>
            <w:vAlign w:val="center"/>
          </w:tcPr>
          <w:p>
            <w:pPr>
              <w:spacing w:after="120" w:line="440" w:lineRule="exact"/>
              <w:rPr>
                <w:rFonts w:ascii="宋体" w:cs="宋体"/>
              </w:rPr>
            </w:pPr>
            <w:r>
              <w:rPr>
                <w:rFonts w:hint="eastAsia" w:ascii="宋体" w:cs="宋体"/>
              </w:rPr>
              <w:t>机务作风</w:t>
            </w:r>
          </w:p>
        </w:tc>
        <w:tc>
          <w:tcPr>
            <w:tcW w:w="3012" w:type="dxa"/>
            <w:vAlign w:val="center"/>
          </w:tcPr>
          <w:p>
            <w:pPr>
              <w:spacing w:after="120" w:line="440" w:lineRule="exact"/>
              <w:jc w:val="center"/>
              <w:rPr>
                <w:rFonts w:asci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continue"/>
            <w:vAlign w:val="center"/>
          </w:tcPr>
          <w:p>
            <w:pPr>
              <w:spacing w:after="120" w:line="440" w:lineRule="exact"/>
              <w:rPr>
                <w:rFonts w:ascii="宋体" w:cs="宋体"/>
              </w:rPr>
            </w:pPr>
          </w:p>
        </w:tc>
        <w:tc>
          <w:tcPr>
            <w:tcW w:w="1260" w:type="dxa"/>
            <w:vAlign w:val="center"/>
          </w:tcPr>
          <w:p>
            <w:pPr>
              <w:spacing w:after="120" w:line="440" w:lineRule="exact"/>
              <w:rPr>
                <w:rFonts w:ascii="宋体" w:cs="宋体"/>
              </w:rPr>
            </w:pPr>
            <w:r>
              <w:rPr>
                <w:rFonts w:hint="eastAsia" w:ascii="宋体" w:cs="宋体"/>
              </w:rPr>
              <w:t>口试</w:t>
            </w:r>
          </w:p>
        </w:tc>
        <w:tc>
          <w:tcPr>
            <w:tcW w:w="3012" w:type="dxa"/>
            <w:vAlign w:val="center"/>
          </w:tcPr>
          <w:p>
            <w:pPr>
              <w:spacing w:after="120" w:line="440" w:lineRule="exact"/>
              <w:jc w:val="center"/>
              <w:rPr>
                <w:rFonts w:ascii="宋体" w:hAns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15" w:type="dxa"/>
            <w:vAlign w:val="center"/>
          </w:tcPr>
          <w:p>
            <w:pPr>
              <w:spacing w:after="120" w:line="440" w:lineRule="exact"/>
              <w:jc w:val="center"/>
              <w:rPr>
                <w:rFonts w:ascii="宋体" w:cs="宋体"/>
                <w:b/>
                <w:bCs/>
              </w:rPr>
            </w:pPr>
            <w:r>
              <w:rPr>
                <w:rFonts w:hint="eastAsia" w:ascii="宋体" w:hAnsi="宋体" w:cs="宋体"/>
                <w:b/>
                <w:bCs/>
              </w:rPr>
              <w:t>终结性考核</w:t>
            </w:r>
          </w:p>
        </w:tc>
        <w:tc>
          <w:tcPr>
            <w:tcW w:w="2520" w:type="dxa"/>
            <w:gridSpan w:val="2"/>
            <w:vAlign w:val="center"/>
          </w:tcPr>
          <w:p>
            <w:pPr>
              <w:spacing w:after="120" w:line="440" w:lineRule="exact"/>
              <w:jc w:val="center"/>
              <w:rPr>
                <w:rFonts w:ascii="宋体" w:cs="宋体"/>
                <w:kern w:val="0"/>
              </w:rPr>
            </w:pPr>
            <w:r>
              <w:rPr>
                <w:rFonts w:hint="eastAsia" w:ascii="宋体" w:hAnsi="宋体" w:cs="宋体"/>
                <w:kern w:val="0"/>
              </w:rPr>
              <w:t>企业考核</w:t>
            </w:r>
          </w:p>
        </w:tc>
        <w:tc>
          <w:tcPr>
            <w:tcW w:w="3012" w:type="dxa"/>
            <w:vAlign w:val="center"/>
          </w:tcPr>
          <w:p>
            <w:pPr>
              <w:spacing w:after="120" w:line="440" w:lineRule="exact"/>
              <w:jc w:val="center"/>
              <w:rPr>
                <w:rFonts w:ascii="宋体" w:cs="宋体"/>
                <w:kern w:val="0"/>
              </w:rPr>
            </w:pPr>
            <w:r>
              <w:rPr>
                <w:rFonts w:ascii="宋体" w:hAnsi="宋体" w:cs="宋体"/>
                <w:kern w:val="0"/>
              </w:rPr>
              <w:t>40</w:t>
            </w:r>
            <w:r>
              <w:rPr>
                <w:rFonts w:hint="eastAsia" w:ascii="宋体" w:hAnsi="宋体" w:cs="宋体"/>
                <w:kern w:val="0"/>
              </w:rPr>
              <w:t>%</w:t>
            </w:r>
          </w:p>
        </w:tc>
        <w:tc>
          <w:tcPr>
            <w:tcW w:w="1675" w:type="dxa"/>
            <w:vAlign w:val="center"/>
          </w:tcPr>
          <w:p>
            <w:pPr>
              <w:spacing w:after="120" w:line="440" w:lineRule="exact"/>
              <w:jc w:val="center"/>
              <w:rPr>
                <w:rFonts w:ascii="宋体" w:cs="宋体"/>
              </w:rPr>
            </w:pPr>
            <w:r>
              <w:rPr>
                <w:rFonts w:ascii="宋体" w:hAnsi="宋体" w:cs="宋体"/>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5" w:type="dxa"/>
            <w:gridSpan w:val="3"/>
            <w:vAlign w:val="center"/>
          </w:tcPr>
          <w:p>
            <w:pPr>
              <w:spacing w:after="120" w:line="440" w:lineRule="exact"/>
              <w:jc w:val="center"/>
              <w:rPr>
                <w:rFonts w:cs="Times New Roman"/>
                <w:kern w:val="0"/>
              </w:rPr>
            </w:pPr>
            <w:r>
              <w:rPr>
                <w:rFonts w:hint="eastAsia" w:cs="宋体"/>
                <w:b/>
                <w:bCs/>
                <w:kern w:val="0"/>
              </w:rPr>
              <w:t>合计</w:t>
            </w:r>
          </w:p>
        </w:tc>
        <w:tc>
          <w:tcPr>
            <w:tcW w:w="3012" w:type="dxa"/>
            <w:vAlign w:val="center"/>
          </w:tcPr>
          <w:p>
            <w:pPr>
              <w:spacing w:after="120" w:line="440" w:lineRule="exact"/>
              <w:jc w:val="center"/>
              <w:rPr>
                <w:rFonts w:ascii="宋体" w:cs="宋体"/>
                <w:kern w:val="0"/>
              </w:rPr>
            </w:pPr>
            <w:r>
              <w:rPr>
                <w:rFonts w:ascii="宋体" w:hAnsi="宋体" w:cs="宋体"/>
                <w:kern w:val="0"/>
              </w:rPr>
              <w:t>100%</w:t>
            </w:r>
          </w:p>
        </w:tc>
        <w:tc>
          <w:tcPr>
            <w:tcW w:w="1675" w:type="dxa"/>
            <w:vAlign w:val="center"/>
          </w:tcPr>
          <w:p>
            <w:pPr>
              <w:spacing w:after="120" w:line="440" w:lineRule="exact"/>
              <w:jc w:val="center"/>
              <w:rPr>
                <w:rFonts w:ascii="宋体" w:cs="Times New Roman"/>
              </w:rPr>
            </w:pPr>
            <w:r>
              <w:rPr>
                <w:rFonts w:ascii="宋体" w:cs="宋体"/>
              </w:rPr>
              <w:t>100%</w:t>
            </w:r>
          </w:p>
        </w:tc>
      </w:tr>
      <w:bookmarkEnd w:id="246"/>
    </w:tbl>
    <w:p>
      <w:pPr>
        <w:overflowPunct w:val="0"/>
        <w:adjustRightInd w:val="0"/>
        <w:snapToGrid w:val="0"/>
        <w:spacing w:line="500" w:lineRule="exact"/>
        <w:ind w:firstLine="480" w:firstLineChars="200"/>
        <w:rPr>
          <w:rFonts w:ascii="微软雅黑" w:hAnsi="微软雅黑" w:eastAsia="微软雅黑" w:cs="微软雅黑"/>
          <w:bCs/>
          <w:sz w:val="24"/>
          <w:szCs w:val="24"/>
        </w:rPr>
      </w:pP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47" w:name="_Toc28004"/>
      <w:bookmarkStart w:id="248" w:name="_Toc20556101"/>
      <w:bookmarkStart w:id="249" w:name="_Toc13028"/>
      <w:bookmarkStart w:id="250" w:name="_Toc4014"/>
      <w:bookmarkStart w:id="251" w:name="_Toc5373"/>
      <w:bookmarkStart w:id="252" w:name="_Toc27233248"/>
      <w:r>
        <w:rPr>
          <w:rFonts w:hint="eastAsia" w:ascii="微软雅黑" w:hAnsi="微软雅黑" w:eastAsia="微软雅黑" w:cs="微软雅黑"/>
          <w:sz w:val="24"/>
          <w:szCs w:val="24"/>
        </w:rPr>
        <w:t>（六）质量管理</w:t>
      </w:r>
      <w:bookmarkEnd w:id="247"/>
      <w:bookmarkEnd w:id="248"/>
      <w:bookmarkEnd w:id="249"/>
      <w:bookmarkEnd w:id="250"/>
      <w:bookmarkEnd w:id="251"/>
      <w:bookmarkEnd w:id="252"/>
    </w:p>
    <w:p>
      <w:pPr>
        <w:overflowPunct w:val="0"/>
        <w:adjustRightInd w:val="0"/>
        <w:snapToGrid w:val="0"/>
        <w:spacing w:line="500" w:lineRule="exact"/>
        <w:ind w:firstLine="480" w:firstLineChars="200"/>
        <w:rPr>
          <w:rFonts w:ascii="微软雅黑" w:hAnsi="微软雅黑" w:eastAsia="微软雅黑" w:cs="微软雅黑"/>
          <w:bCs/>
          <w:sz w:val="24"/>
          <w:szCs w:val="24"/>
        </w:rPr>
      </w:pPr>
      <w:bookmarkStart w:id="253" w:name="_Toc28611"/>
      <w:bookmarkStart w:id="254" w:name="_Toc20556102"/>
      <w:bookmarkStart w:id="255" w:name="_Toc27233249"/>
      <w:bookmarkStart w:id="256" w:name="_Toc13622"/>
      <w:bookmarkStart w:id="257" w:name="_Toc18928"/>
      <w:bookmarkStart w:id="258" w:name="_Toc20702"/>
      <w:r>
        <w:rPr>
          <w:rFonts w:hint="eastAsia" w:ascii="微软雅黑" w:hAnsi="微软雅黑" w:eastAsia="微软雅黑" w:cs="微软雅黑"/>
          <w:bCs/>
          <w:sz w:val="24"/>
          <w:szCs w:val="24"/>
        </w:rPr>
        <w:t>（1）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2）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（3）建立毕业生跟踪反馈机制及社会评价机制，并对生源情况、在校生学业水平、毕业生就业情况等进行分析，定期评价人才培养质量和培养目标达成情况。</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（4）充分利用评价分析结果有效改进专业教学，持续提高人才培养质量。</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九、毕业要求</w:t>
      </w:r>
      <w:bookmarkEnd w:id="253"/>
      <w:bookmarkEnd w:id="254"/>
      <w:bookmarkEnd w:id="255"/>
      <w:bookmarkEnd w:id="256"/>
      <w:bookmarkEnd w:id="257"/>
      <w:bookmarkEnd w:id="258"/>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通过3年的学习，技术型学生修满30</w:t>
      </w:r>
      <w:r>
        <w:rPr>
          <w:rFonts w:ascii="微软雅黑" w:hAnsi="微软雅黑" w:eastAsia="微软雅黑" w:cs="微软雅黑"/>
          <w:bCs/>
          <w:sz w:val="24"/>
          <w:szCs w:val="24"/>
        </w:rPr>
        <w:t>0</w:t>
      </w:r>
      <w:r>
        <w:rPr>
          <w:rFonts w:hint="eastAsia" w:ascii="微软雅黑" w:hAnsi="微软雅黑" w:eastAsia="微软雅黑" w:cs="微软雅黑"/>
          <w:bCs/>
          <w:sz w:val="24"/>
          <w:szCs w:val="24"/>
          <w:lang w:val="en-US" w:eastAsia="zh-CN"/>
        </w:rPr>
        <w:t>2</w:t>
      </w:r>
      <w:bookmarkStart w:id="274" w:name="_GoBack"/>
      <w:bookmarkEnd w:id="274"/>
      <w:r>
        <w:rPr>
          <w:rFonts w:hint="eastAsia" w:ascii="微软雅黑" w:hAnsi="微软雅黑" w:eastAsia="微软雅黑" w:cs="微软雅黑"/>
          <w:bCs/>
          <w:sz w:val="24"/>
          <w:szCs w:val="24"/>
        </w:rPr>
        <w:t>学时</w:t>
      </w:r>
      <w:r>
        <w:rPr>
          <w:rFonts w:ascii="微软雅黑" w:hAnsi="微软雅黑" w:eastAsia="微软雅黑" w:cs="微软雅黑"/>
          <w:bCs/>
          <w:sz w:val="24"/>
          <w:szCs w:val="24"/>
        </w:rPr>
        <w:t>157</w:t>
      </w:r>
      <w:r>
        <w:rPr>
          <w:rFonts w:hint="eastAsia" w:ascii="微软雅黑" w:hAnsi="微软雅黑" w:eastAsia="微软雅黑" w:cs="微软雅黑"/>
          <w:bCs/>
          <w:sz w:val="24"/>
          <w:szCs w:val="24"/>
        </w:rPr>
        <w:t>学分，计算机水平达到一级，英语达到</w:t>
      </w:r>
      <w:r>
        <w:rPr>
          <w:rFonts w:ascii="微软雅黑" w:hAnsi="微软雅黑" w:eastAsia="微软雅黑" w:cs="微软雅黑"/>
          <w:bCs/>
          <w:sz w:val="24"/>
          <w:szCs w:val="24"/>
        </w:rPr>
        <w:t>A</w:t>
      </w:r>
      <w:r>
        <w:rPr>
          <w:rFonts w:hint="eastAsia" w:ascii="微软雅黑" w:hAnsi="微软雅黑" w:eastAsia="微软雅黑" w:cs="微软雅黑"/>
          <w:bCs/>
          <w:sz w:val="24"/>
          <w:szCs w:val="24"/>
        </w:rPr>
        <w:t>水平，达到了本专业</w:t>
      </w:r>
      <w:r>
        <w:rPr>
          <w:rFonts w:hint="eastAsia" w:ascii="微软雅黑" w:hAnsi="微软雅黑" w:eastAsia="微软雅黑" w:cs="微软雅黑"/>
          <w:sz w:val="24"/>
          <w:szCs w:val="24"/>
        </w:rPr>
        <w:t>知识、技能、素质</w:t>
      </w:r>
      <w:r>
        <w:rPr>
          <w:rFonts w:hint="eastAsia" w:ascii="微软雅黑" w:hAnsi="微软雅黑" w:eastAsia="微软雅黑" w:cs="微软雅黑"/>
          <w:bCs/>
          <w:sz w:val="24"/>
          <w:szCs w:val="24"/>
        </w:rPr>
        <w:t>方面要求，准予毕业。学生若达到学校相关条件，则可申请授予“副学士学位”。</w:t>
      </w:r>
    </w:p>
    <w:p>
      <w:pPr>
        <w:rPr>
          <w:rFonts w:ascii="微软雅黑" w:hAnsi="微软雅黑" w:eastAsia="微软雅黑" w:cs="微软雅黑"/>
          <w:sz w:val="28"/>
          <w:szCs w:val="28"/>
        </w:rPr>
      </w:pPr>
      <w:bookmarkStart w:id="259" w:name="_Toc24510"/>
      <w:bookmarkStart w:id="260" w:name="_Toc27233250"/>
      <w:bookmarkStart w:id="261" w:name="_Toc9654"/>
      <w:bookmarkStart w:id="262" w:name="_Toc25165"/>
      <w:bookmarkStart w:id="263" w:name="_Toc20556103"/>
      <w:bookmarkStart w:id="264" w:name="_Toc24215"/>
      <w:r>
        <w:rPr>
          <w:rFonts w:hint="eastAsia" w:ascii="微软雅黑" w:hAnsi="微软雅黑" w:eastAsia="微软雅黑" w:cs="微软雅黑"/>
          <w:sz w:val="28"/>
          <w:szCs w:val="28"/>
        </w:rPr>
        <w:br w:type="page"/>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十、附录</w:t>
      </w:r>
      <w:bookmarkEnd w:id="259"/>
      <w:bookmarkEnd w:id="260"/>
      <w:bookmarkEnd w:id="261"/>
      <w:bookmarkEnd w:id="262"/>
      <w:bookmarkEnd w:id="263"/>
      <w:bookmarkEnd w:id="264"/>
    </w:p>
    <w:p>
      <w:pPr>
        <w:pStyle w:val="15"/>
        <w:adjustRightInd w:val="0"/>
        <w:snapToGrid w:val="0"/>
        <w:spacing w:before="0" w:after="0" w:line="500" w:lineRule="atLeast"/>
        <w:rPr>
          <w:rFonts w:ascii="微软雅黑" w:hAnsi="微软雅黑" w:eastAsia="微软雅黑"/>
          <w:color w:val="000099"/>
          <w:sz w:val="24"/>
          <w:szCs w:val="24"/>
        </w:rPr>
      </w:pPr>
      <w:bookmarkStart w:id="265" w:name="_Toc41473143"/>
      <w:bookmarkStart w:id="266" w:name="_Toc41473445"/>
      <w:bookmarkStart w:id="267" w:name="_Toc24118"/>
      <w:bookmarkStart w:id="268" w:name="_Toc30076"/>
      <w:bookmarkStart w:id="269" w:name="_Toc26472"/>
      <w:bookmarkStart w:id="270" w:name="_Toc26017"/>
      <w:bookmarkStart w:id="271" w:name="_Toc24603"/>
      <w:r>
        <w:rPr>
          <w:rFonts w:hint="eastAsia" w:ascii="微软雅黑" w:hAnsi="微软雅黑" w:eastAsia="微软雅黑"/>
          <w:color w:val="000099"/>
          <w:sz w:val="24"/>
          <w:szCs w:val="24"/>
        </w:rPr>
        <w:t>表12人才培养方案变更审批表</w:t>
      </w:r>
      <w:bookmarkEnd w:id="265"/>
      <w:bookmarkEnd w:id="266"/>
      <w:bookmarkEnd w:id="267"/>
      <w:bookmarkEnd w:id="268"/>
      <w:bookmarkEnd w:id="269"/>
      <w:bookmarkEnd w:id="270"/>
      <w:bookmarkEnd w:id="271"/>
    </w:p>
    <w:tbl>
      <w:tblPr>
        <w:tblStyle w:val="1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82"/>
        <w:gridCol w:w="7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bookmarkStart w:id="272" w:name="_Hlk26540768"/>
            <w:r>
              <w:rPr>
                <w:rFonts w:hint="eastAsia" w:ascii="微软雅黑" w:hAnsi="微软雅黑" w:eastAsia="微软雅黑"/>
                <w:sz w:val="24"/>
                <w:szCs w:val="24"/>
              </w:rPr>
              <w:t>二级学院</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专业</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年级</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067" w:type="dxa"/>
            <w:gridSpan w:val="3"/>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变更原因及变更内容说明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9067" w:type="dxa"/>
            <w:gridSpan w:val="3"/>
          </w:tcPr>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专业负责人签名：</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1079" w:type="dxa"/>
            <w:vAlign w:val="center"/>
          </w:tcPr>
          <w:p>
            <w:pPr>
              <w:adjustRightInd w:val="0"/>
              <w:snapToGrid w:val="0"/>
              <w:spacing w:line="400" w:lineRule="atLeast"/>
              <w:jc w:val="center"/>
              <w:rPr>
                <w:rFonts w:ascii="微软雅黑" w:hAnsi="微软雅黑" w:eastAsia="微软雅黑"/>
                <w:sz w:val="24"/>
                <w:szCs w:val="24"/>
              </w:rPr>
            </w:pPr>
            <w:bookmarkStart w:id="273" w:name="_Hlk21420049"/>
            <w:r>
              <w:rPr>
                <w:rFonts w:hint="eastAsia" w:ascii="微软雅黑" w:hAnsi="微软雅黑" w:eastAsia="微软雅黑"/>
                <w:sz w:val="24"/>
                <w:szCs w:val="24"/>
              </w:rPr>
              <w:t>所在二级学院意见</w:t>
            </w:r>
            <w:bookmarkEnd w:id="273"/>
          </w:p>
        </w:tc>
        <w:tc>
          <w:tcPr>
            <w:tcW w:w="7988" w:type="dxa"/>
            <w:gridSpan w:val="2"/>
          </w:tcPr>
          <w:p>
            <w:pPr>
              <w:adjustRightInd w:val="0"/>
              <w:snapToGrid w:val="0"/>
              <w:spacing w:line="400" w:lineRule="atLeast"/>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ind w:firstLine="4320" w:firstLineChars="1800"/>
              <w:rPr>
                <w:rFonts w:ascii="微软雅黑" w:hAnsi="微软雅黑" w:eastAsia="微软雅黑"/>
                <w:sz w:val="24"/>
                <w:szCs w:val="24"/>
              </w:rPr>
            </w:pPr>
            <w:r>
              <w:rPr>
                <w:rFonts w:hint="eastAsia" w:ascii="微软雅黑" w:hAnsi="微软雅黑" w:eastAsia="微软雅黑"/>
                <w:sz w:val="24"/>
                <w:szCs w:val="24"/>
              </w:rPr>
              <w:t>盖章</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1079" w:type="dxa"/>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教务处</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意见</w:t>
            </w:r>
          </w:p>
        </w:tc>
        <w:tc>
          <w:tcPr>
            <w:tcW w:w="7988" w:type="dxa"/>
            <w:gridSpan w:val="2"/>
          </w:tcPr>
          <w:p>
            <w:pPr>
              <w:adjustRightInd w:val="0"/>
              <w:snapToGrid w:val="0"/>
              <w:spacing w:line="400" w:lineRule="atLeast"/>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ind w:firstLine="4320" w:firstLineChars="1800"/>
              <w:rPr>
                <w:rFonts w:ascii="微软雅黑" w:hAnsi="微软雅黑" w:eastAsia="微软雅黑"/>
                <w:sz w:val="24"/>
                <w:szCs w:val="24"/>
              </w:rPr>
            </w:pPr>
            <w:r>
              <w:rPr>
                <w:rFonts w:hint="eastAsia" w:ascii="微软雅黑" w:hAnsi="微软雅黑" w:eastAsia="微软雅黑"/>
                <w:sz w:val="24"/>
                <w:szCs w:val="24"/>
              </w:rPr>
              <w:t>盖章</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bookmarkEnd w:id="272"/>
    </w:tbl>
    <w:p>
      <w:pPr>
        <w:rPr>
          <w:highlight w:val="red"/>
        </w:rPr>
      </w:pPr>
    </w:p>
    <w:sectPr>
      <w:footerReference r:id="rId4" w:type="default"/>
      <w:pgSz w:w="11906" w:h="16838"/>
      <w:pgMar w:top="1418" w:right="1418" w:bottom="1418" w:left="1474" w:header="851" w:footer="85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12" w:usb3="00000000" w:csb0="00040001" w:csb1="00000000"/>
  </w:font>
  <w:font w:name="华文新魏">
    <w:panose1 w:val="02010800040101010101"/>
    <w:charset w:val="86"/>
    <w:family w:val="auto"/>
    <w:pitch w:val="default"/>
    <w:sig w:usb0="00000001" w:usb1="080F0000" w:usb2="00000000" w:usb3="00000000" w:csb0="00040000" w:csb1="00000000"/>
  </w:font>
  <w:font w:name="方正仿宋_GBK">
    <w:altName w:val="SimSun-ExtB"/>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5193513"/>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10B0F"/>
    <w:multiLevelType w:val="singleLevel"/>
    <w:tmpl w:val="C9710B0F"/>
    <w:lvl w:ilvl="0" w:tentative="0">
      <w:start w:val="1"/>
      <w:numFmt w:val="chineseCounting"/>
      <w:suff w:val="nothing"/>
      <w:lvlText w:val="（%1）"/>
      <w:lvlJc w:val="left"/>
      <w:rPr>
        <w:rFonts w:hint="eastAsia"/>
      </w:rPr>
    </w:lvl>
  </w:abstractNum>
  <w:abstractNum w:abstractNumId="1">
    <w:nsid w:val="41CF90EF"/>
    <w:multiLevelType w:val="singleLevel"/>
    <w:tmpl w:val="41CF90EF"/>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hMDM2MWZhZDQ2OGVjZWUxYjQ1OTQxZGRlNzQyNTYifQ=="/>
  </w:docVars>
  <w:rsids>
    <w:rsidRoot w:val="00247AB8"/>
    <w:rsid w:val="00005CCF"/>
    <w:rsid w:val="000128D1"/>
    <w:rsid w:val="00013B64"/>
    <w:rsid w:val="000175B1"/>
    <w:rsid w:val="00017AE3"/>
    <w:rsid w:val="00023AB1"/>
    <w:rsid w:val="0004140F"/>
    <w:rsid w:val="00052818"/>
    <w:rsid w:val="00053CC3"/>
    <w:rsid w:val="00055E12"/>
    <w:rsid w:val="00065337"/>
    <w:rsid w:val="00067DC3"/>
    <w:rsid w:val="00071158"/>
    <w:rsid w:val="00074425"/>
    <w:rsid w:val="00075F88"/>
    <w:rsid w:val="00082D4A"/>
    <w:rsid w:val="0008679B"/>
    <w:rsid w:val="00090A79"/>
    <w:rsid w:val="0009118A"/>
    <w:rsid w:val="00095D92"/>
    <w:rsid w:val="00097783"/>
    <w:rsid w:val="000A1882"/>
    <w:rsid w:val="000A22D6"/>
    <w:rsid w:val="000A32B2"/>
    <w:rsid w:val="000B068A"/>
    <w:rsid w:val="000B79D1"/>
    <w:rsid w:val="000B7FDC"/>
    <w:rsid w:val="000C55CA"/>
    <w:rsid w:val="000C5F75"/>
    <w:rsid w:val="000D0703"/>
    <w:rsid w:val="000E419D"/>
    <w:rsid w:val="000F33EF"/>
    <w:rsid w:val="00107778"/>
    <w:rsid w:val="00125DFD"/>
    <w:rsid w:val="0013092B"/>
    <w:rsid w:val="00137785"/>
    <w:rsid w:val="00142A41"/>
    <w:rsid w:val="00143291"/>
    <w:rsid w:val="00144334"/>
    <w:rsid w:val="00152DCC"/>
    <w:rsid w:val="00165F1D"/>
    <w:rsid w:val="001761C7"/>
    <w:rsid w:val="00181A26"/>
    <w:rsid w:val="00183970"/>
    <w:rsid w:val="001900E4"/>
    <w:rsid w:val="001A245B"/>
    <w:rsid w:val="001A44F3"/>
    <w:rsid w:val="001A4581"/>
    <w:rsid w:val="001B32DF"/>
    <w:rsid w:val="001B4054"/>
    <w:rsid w:val="001C4FCA"/>
    <w:rsid w:val="001D1BC9"/>
    <w:rsid w:val="001D288F"/>
    <w:rsid w:val="001D3E0C"/>
    <w:rsid w:val="001D4461"/>
    <w:rsid w:val="001D5619"/>
    <w:rsid w:val="001D7C86"/>
    <w:rsid w:val="001E2D4E"/>
    <w:rsid w:val="001E35B5"/>
    <w:rsid w:val="001E37D4"/>
    <w:rsid w:val="001E64C4"/>
    <w:rsid w:val="00202EDE"/>
    <w:rsid w:val="002212ED"/>
    <w:rsid w:val="002237FD"/>
    <w:rsid w:val="0024022E"/>
    <w:rsid w:val="00242098"/>
    <w:rsid w:val="00247AB8"/>
    <w:rsid w:val="00251FA5"/>
    <w:rsid w:val="00255166"/>
    <w:rsid w:val="00255955"/>
    <w:rsid w:val="00255D52"/>
    <w:rsid w:val="002609BB"/>
    <w:rsid w:val="002653E0"/>
    <w:rsid w:val="0027550A"/>
    <w:rsid w:val="00281D3F"/>
    <w:rsid w:val="00283EE0"/>
    <w:rsid w:val="00297607"/>
    <w:rsid w:val="002A7581"/>
    <w:rsid w:val="002B0C07"/>
    <w:rsid w:val="002B2011"/>
    <w:rsid w:val="002C1D20"/>
    <w:rsid w:val="002C23FB"/>
    <w:rsid w:val="002D3367"/>
    <w:rsid w:val="002D3AA1"/>
    <w:rsid w:val="002E5726"/>
    <w:rsid w:val="002F21EF"/>
    <w:rsid w:val="002F430B"/>
    <w:rsid w:val="00303BF4"/>
    <w:rsid w:val="00303EA0"/>
    <w:rsid w:val="00306F20"/>
    <w:rsid w:val="003111CE"/>
    <w:rsid w:val="0031321A"/>
    <w:rsid w:val="003214E2"/>
    <w:rsid w:val="0032785D"/>
    <w:rsid w:val="00330A63"/>
    <w:rsid w:val="003410CA"/>
    <w:rsid w:val="00345772"/>
    <w:rsid w:val="00353846"/>
    <w:rsid w:val="00356A46"/>
    <w:rsid w:val="003573BB"/>
    <w:rsid w:val="0036629F"/>
    <w:rsid w:val="00382F60"/>
    <w:rsid w:val="00394C6E"/>
    <w:rsid w:val="003A1C62"/>
    <w:rsid w:val="003A525E"/>
    <w:rsid w:val="003B22A6"/>
    <w:rsid w:val="003B5837"/>
    <w:rsid w:val="003B6AD1"/>
    <w:rsid w:val="003B7263"/>
    <w:rsid w:val="003D4F87"/>
    <w:rsid w:val="003D7216"/>
    <w:rsid w:val="003D7412"/>
    <w:rsid w:val="003E1F4C"/>
    <w:rsid w:val="0040408D"/>
    <w:rsid w:val="00412D25"/>
    <w:rsid w:val="00414199"/>
    <w:rsid w:val="0042710C"/>
    <w:rsid w:val="00430C79"/>
    <w:rsid w:val="00441F8C"/>
    <w:rsid w:val="0044509C"/>
    <w:rsid w:val="00453E61"/>
    <w:rsid w:val="004559FF"/>
    <w:rsid w:val="00455B18"/>
    <w:rsid w:val="00461777"/>
    <w:rsid w:val="00464C03"/>
    <w:rsid w:val="00470512"/>
    <w:rsid w:val="00473A71"/>
    <w:rsid w:val="00487768"/>
    <w:rsid w:val="00490367"/>
    <w:rsid w:val="00491DAD"/>
    <w:rsid w:val="004A4A78"/>
    <w:rsid w:val="004B0872"/>
    <w:rsid w:val="004B35C4"/>
    <w:rsid w:val="004B4088"/>
    <w:rsid w:val="004C1B19"/>
    <w:rsid w:val="004C230F"/>
    <w:rsid w:val="004C3F09"/>
    <w:rsid w:val="004D3F0E"/>
    <w:rsid w:val="004D548A"/>
    <w:rsid w:val="004D62C1"/>
    <w:rsid w:val="004E299E"/>
    <w:rsid w:val="004F3BB6"/>
    <w:rsid w:val="005052BF"/>
    <w:rsid w:val="005142E8"/>
    <w:rsid w:val="005232FE"/>
    <w:rsid w:val="00541CED"/>
    <w:rsid w:val="00547B3A"/>
    <w:rsid w:val="00547FB4"/>
    <w:rsid w:val="005536F6"/>
    <w:rsid w:val="00555524"/>
    <w:rsid w:val="00567F0B"/>
    <w:rsid w:val="00572B06"/>
    <w:rsid w:val="00577E90"/>
    <w:rsid w:val="00580F89"/>
    <w:rsid w:val="00581FA2"/>
    <w:rsid w:val="0058442D"/>
    <w:rsid w:val="005865ED"/>
    <w:rsid w:val="00586854"/>
    <w:rsid w:val="00591348"/>
    <w:rsid w:val="00596E17"/>
    <w:rsid w:val="005A048A"/>
    <w:rsid w:val="005A3417"/>
    <w:rsid w:val="005A3C94"/>
    <w:rsid w:val="005A5794"/>
    <w:rsid w:val="005A7240"/>
    <w:rsid w:val="005B7440"/>
    <w:rsid w:val="005C5FC6"/>
    <w:rsid w:val="005D6017"/>
    <w:rsid w:val="005E007C"/>
    <w:rsid w:val="005E5DF1"/>
    <w:rsid w:val="005E5F58"/>
    <w:rsid w:val="005E7AF7"/>
    <w:rsid w:val="005F1DF7"/>
    <w:rsid w:val="005F5C62"/>
    <w:rsid w:val="00605147"/>
    <w:rsid w:val="006051DC"/>
    <w:rsid w:val="00605E77"/>
    <w:rsid w:val="00611B1E"/>
    <w:rsid w:val="006131E3"/>
    <w:rsid w:val="006147A8"/>
    <w:rsid w:val="0062097B"/>
    <w:rsid w:val="006576A5"/>
    <w:rsid w:val="00661616"/>
    <w:rsid w:val="0066167D"/>
    <w:rsid w:val="00665E38"/>
    <w:rsid w:val="00691171"/>
    <w:rsid w:val="00692E2D"/>
    <w:rsid w:val="00696152"/>
    <w:rsid w:val="00697543"/>
    <w:rsid w:val="006A4256"/>
    <w:rsid w:val="006B7EB0"/>
    <w:rsid w:val="006C1D3F"/>
    <w:rsid w:val="006C5AB1"/>
    <w:rsid w:val="006C6EED"/>
    <w:rsid w:val="006D7375"/>
    <w:rsid w:val="006F4019"/>
    <w:rsid w:val="006F4E27"/>
    <w:rsid w:val="007218C2"/>
    <w:rsid w:val="007305BF"/>
    <w:rsid w:val="0073351B"/>
    <w:rsid w:val="00740DE6"/>
    <w:rsid w:val="00743C50"/>
    <w:rsid w:val="0075079F"/>
    <w:rsid w:val="007538A8"/>
    <w:rsid w:val="00756639"/>
    <w:rsid w:val="00771686"/>
    <w:rsid w:val="00777049"/>
    <w:rsid w:val="00796CB6"/>
    <w:rsid w:val="007B1BED"/>
    <w:rsid w:val="007B4DA3"/>
    <w:rsid w:val="007D09E8"/>
    <w:rsid w:val="007D1E56"/>
    <w:rsid w:val="007D49C7"/>
    <w:rsid w:val="007D5223"/>
    <w:rsid w:val="007D5BCF"/>
    <w:rsid w:val="007D7166"/>
    <w:rsid w:val="007E095D"/>
    <w:rsid w:val="007E5340"/>
    <w:rsid w:val="007E5834"/>
    <w:rsid w:val="007E77FC"/>
    <w:rsid w:val="007F04B3"/>
    <w:rsid w:val="007F0C08"/>
    <w:rsid w:val="007F1B5A"/>
    <w:rsid w:val="0081260B"/>
    <w:rsid w:val="00815526"/>
    <w:rsid w:val="00830F2C"/>
    <w:rsid w:val="00845433"/>
    <w:rsid w:val="008458F1"/>
    <w:rsid w:val="00850A65"/>
    <w:rsid w:val="00850EEE"/>
    <w:rsid w:val="008532A6"/>
    <w:rsid w:val="00855BA1"/>
    <w:rsid w:val="008572F7"/>
    <w:rsid w:val="00860719"/>
    <w:rsid w:val="00863D46"/>
    <w:rsid w:val="00874BE2"/>
    <w:rsid w:val="00882EB1"/>
    <w:rsid w:val="008832DF"/>
    <w:rsid w:val="0088345E"/>
    <w:rsid w:val="008A11E8"/>
    <w:rsid w:val="008A6062"/>
    <w:rsid w:val="008B2CB2"/>
    <w:rsid w:val="008C561F"/>
    <w:rsid w:val="008C5C49"/>
    <w:rsid w:val="008D20C7"/>
    <w:rsid w:val="008D30F7"/>
    <w:rsid w:val="008D34B6"/>
    <w:rsid w:val="008D37B0"/>
    <w:rsid w:val="008E260A"/>
    <w:rsid w:val="008F2DAD"/>
    <w:rsid w:val="008F696B"/>
    <w:rsid w:val="008F7690"/>
    <w:rsid w:val="00903976"/>
    <w:rsid w:val="009055B4"/>
    <w:rsid w:val="00915422"/>
    <w:rsid w:val="00922A44"/>
    <w:rsid w:val="00924D95"/>
    <w:rsid w:val="00927139"/>
    <w:rsid w:val="00930E56"/>
    <w:rsid w:val="00936220"/>
    <w:rsid w:val="00936B52"/>
    <w:rsid w:val="00940427"/>
    <w:rsid w:val="009437C5"/>
    <w:rsid w:val="009505C8"/>
    <w:rsid w:val="00962A5C"/>
    <w:rsid w:val="00962B99"/>
    <w:rsid w:val="00963479"/>
    <w:rsid w:val="00964869"/>
    <w:rsid w:val="0097388C"/>
    <w:rsid w:val="009746AF"/>
    <w:rsid w:val="009749D3"/>
    <w:rsid w:val="00975D95"/>
    <w:rsid w:val="00982FD7"/>
    <w:rsid w:val="00985A21"/>
    <w:rsid w:val="009914CE"/>
    <w:rsid w:val="00994203"/>
    <w:rsid w:val="009A4418"/>
    <w:rsid w:val="009A4714"/>
    <w:rsid w:val="009B142B"/>
    <w:rsid w:val="009B4C60"/>
    <w:rsid w:val="009B7453"/>
    <w:rsid w:val="009C3109"/>
    <w:rsid w:val="009F7164"/>
    <w:rsid w:val="00A068D7"/>
    <w:rsid w:val="00A14640"/>
    <w:rsid w:val="00A1569D"/>
    <w:rsid w:val="00A166DE"/>
    <w:rsid w:val="00A2435F"/>
    <w:rsid w:val="00A252F1"/>
    <w:rsid w:val="00A32992"/>
    <w:rsid w:val="00A46C12"/>
    <w:rsid w:val="00A50EE4"/>
    <w:rsid w:val="00A5698D"/>
    <w:rsid w:val="00A62E38"/>
    <w:rsid w:val="00A63866"/>
    <w:rsid w:val="00A655BF"/>
    <w:rsid w:val="00A71076"/>
    <w:rsid w:val="00A759C1"/>
    <w:rsid w:val="00A868F5"/>
    <w:rsid w:val="00A87974"/>
    <w:rsid w:val="00A90638"/>
    <w:rsid w:val="00A94060"/>
    <w:rsid w:val="00AA2BEC"/>
    <w:rsid w:val="00AB45D4"/>
    <w:rsid w:val="00AB6522"/>
    <w:rsid w:val="00AB758B"/>
    <w:rsid w:val="00AB7831"/>
    <w:rsid w:val="00AD090A"/>
    <w:rsid w:val="00AD0E7A"/>
    <w:rsid w:val="00AD52F2"/>
    <w:rsid w:val="00AE2FDC"/>
    <w:rsid w:val="00AE45FB"/>
    <w:rsid w:val="00AE66F0"/>
    <w:rsid w:val="00AF3606"/>
    <w:rsid w:val="00AF51E7"/>
    <w:rsid w:val="00B06291"/>
    <w:rsid w:val="00B064DD"/>
    <w:rsid w:val="00B06596"/>
    <w:rsid w:val="00B216F9"/>
    <w:rsid w:val="00B244E4"/>
    <w:rsid w:val="00B52899"/>
    <w:rsid w:val="00B65F66"/>
    <w:rsid w:val="00B72961"/>
    <w:rsid w:val="00B749D1"/>
    <w:rsid w:val="00B76459"/>
    <w:rsid w:val="00B7664E"/>
    <w:rsid w:val="00B76CC7"/>
    <w:rsid w:val="00B771DD"/>
    <w:rsid w:val="00B825E8"/>
    <w:rsid w:val="00B833BF"/>
    <w:rsid w:val="00BA2C40"/>
    <w:rsid w:val="00BA3596"/>
    <w:rsid w:val="00BA48BA"/>
    <w:rsid w:val="00BA6437"/>
    <w:rsid w:val="00BB348A"/>
    <w:rsid w:val="00BB7599"/>
    <w:rsid w:val="00BC2E97"/>
    <w:rsid w:val="00BC7B76"/>
    <w:rsid w:val="00BD3791"/>
    <w:rsid w:val="00BD3952"/>
    <w:rsid w:val="00BD6867"/>
    <w:rsid w:val="00BE08A4"/>
    <w:rsid w:val="00BE721D"/>
    <w:rsid w:val="00BF7794"/>
    <w:rsid w:val="00C36D72"/>
    <w:rsid w:val="00C411FD"/>
    <w:rsid w:val="00C44102"/>
    <w:rsid w:val="00C46EBD"/>
    <w:rsid w:val="00C47189"/>
    <w:rsid w:val="00C50119"/>
    <w:rsid w:val="00C51034"/>
    <w:rsid w:val="00C56ADA"/>
    <w:rsid w:val="00C63800"/>
    <w:rsid w:val="00C64AE0"/>
    <w:rsid w:val="00C74739"/>
    <w:rsid w:val="00C810AB"/>
    <w:rsid w:val="00C86169"/>
    <w:rsid w:val="00C8792D"/>
    <w:rsid w:val="00C879B9"/>
    <w:rsid w:val="00C93599"/>
    <w:rsid w:val="00CA1889"/>
    <w:rsid w:val="00CA194B"/>
    <w:rsid w:val="00CB2628"/>
    <w:rsid w:val="00CB64D5"/>
    <w:rsid w:val="00CC45E8"/>
    <w:rsid w:val="00CD029C"/>
    <w:rsid w:val="00CD1C4A"/>
    <w:rsid w:val="00CE0ED0"/>
    <w:rsid w:val="00CE131E"/>
    <w:rsid w:val="00CE148D"/>
    <w:rsid w:val="00CE31B4"/>
    <w:rsid w:val="00CF2152"/>
    <w:rsid w:val="00CF3414"/>
    <w:rsid w:val="00CF3C3E"/>
    <w:rsid w:val="00CF6ABE"/>
    <w:rsid w:val="00D006DE"/>
    <w:rsid w:val="00D115DF"/>
    <w:rsid w:val="00D12528"/>
    <w:rsid w:val="00D212C9"/>
    <w:rsid w:val="00D24E36"/>
    <w:rsid w:val="00D364F0"/>
    <w:rsid w:val="00D40865"/>
    <w:rsid w:val="00D446D7"/>
    <w:rsid w:val="00D55B73"/>
    <w:rsid w:val="00D642F9"/>
    <w:rsid w:val="00D7382E"/>
    <w:rsid w:val="00D73A73"/>
    <w:rsid w:val="00D81A11"/>
    <w:rsid w:val="00D95A30"/>
    <w:rsid w:val="00D96285"/>
    <w:rsid w:val="00DA02A3"/>
    <w:rsid w:val="00DA368A"/>
    <w:rsid w:val="00DA398D"/>
    <w:rsid w:val="00DA43EE"/>
    <w:rsid w:val="00DB0E23"/>
    <w:rsid w:val="00DB7BE2"/>
    <w:rsid w:val="00DB7DDD"/>
    <w:rsid w:val="00DC05D9"/>
    <w:rsid w:val="00DC568E"/>
    <w:rsid w:val="00DC7FA0"/>
    <w:rsid w:val="00DD1DF3"/>
    <w:rsid w:val="00DD23F4"/>
    <w:rsid w:val="00DD7ECE"/>
    <w:rsid w:val="00DE2200"/>
    <w:rsid w:val="00DE273E"/>
    <w:rsid w:val="00DF0E40"/>
    <w:rsid w:val="00DF5A97"/>
    <w:rsid w:val="00DF7133"/>
    <w:rsid w:val="00E126EB"/>
    <w:rsid w:val="00E32E59"/>
    <w:rsid w:val="00E35F37"/>
    <w:rsid w:val="00E46002"/>
    <w:rsid w:val="00E5174A"/>
    <w:rsid w:val="00E5241B"/>
    <w:rsid w:val="00E538F7"/>
    <w:rsid w:val="00E54FAA"/>
    <w:rsid w:val="00E57A01"/>
    <w:rsid w:val="00E65DA2"/>
    <w:rsid w:val="00E663EE"/>
    <w:rsid w:val="00E67AEE"/>
    <w:rsid w:val="00E73938"/>
    <w:rsid w:val="00E73B2C"/>
    <w:rsid w:val="00E74B84"/>
    <w:rsid w:val="00E77D03"/>
    <w:rsid w:val="00E81F4A"/>
    <w:rsid w:val="00E866DE"/>
    <w:rsid w:val="00E87536"/>
    <w:rsid w:val="00E94013"/>
    <w:rsid w:val="00E951E8"/>
    <w:rsid w:val="00EA058C"/>
    <w:rsid w:val="00EA1716"/>
    <w:rsid w:val="00EA4EB4"/>
    <w:rsid w:val="00ED0FEB"/>
    <w:rsid w:val="00ED5B74"/>
    <w:rsid w:val="00EE3FC8"/>
    <w:rsid w:val="00EF3C50"/>
    <w:rsid w:val="00F124B4"/>
    <w:rsid w:val="00F35D46"/>
    <w:rsid w:val="00F405F1"/>
    <w:rsid w:val="00F4264A"/>
    <w:rsid w:val="00F42872"/>
    <w:rsid w:val="00F50116"/>
    <w:rsid w:val="00F51954"/>
    <w:rsid w:val="00F56B58"/>
    <w:rsid w:val="00F56E7C"/>
    <w:rsid w:val="00F61326"/>
    <w:rsid w:val="00F64C49"/>
    <w:rsid w:val="00F71B5B"/>
    <w:rsid w:val="00F72262"/>
    <w:rsid w:val="00F76842"/>
    <w:rsid w:val="00F809EC"/>
    <w:rsid w:val="00F82D45"/>
    <w:rsid w:val="00F833A8"/>
    <w:rsid w:val="00F91747"/>
    <w:rsid w:val="00F926C4"/>
    <w:rsid w:val="00FB0AD5"/>
    <w:rsid w:val="00FC4341"/>
    <w:rsid w:val="00FC553E"/>
    <w:rsid w:val="00FD0F44"/>
    <w:rsid w:val="00FD2045"/>
    <w:rsid w:val="00FD4DDE"/>
    <w:rsid w:val="00FD7B02"/>
    <w:rsid w:val="00FE1FC9"/>
    <w:rsid w:val="00FF1707"/>
    <w:rsid w:val="00FF3DE6"/>
    <w:rsid w:val="010A3BF9"/>
    <w:rsid w:val="017A36A8"/>
    <w:rsid w:val="018154AC"/>
    <w:rsid w:val="018A6DD7"/>
    <w:rsid w:val="019B51D8"/>
    <w:rsid w:val="01A01A2A"/>
    <w:rsid w:val="01AC0138"/>
    <w:rsid w:val="01B00F57"/>
    <w:rsid w:val="01BA3965"/>
    <w:rsid w:val="01BD7A4F"/>
    <w:rsid w:val="01C4452A"/>
    <w:rsid w:val="01CF3840"/>
    <w:rsid w:val="01DB22A2"/>
    <w:rsid w:val="02FA3706"/>
    <w:rsid w:val="030D16F9"/>
    <w:rsid w:val="03166491"/>
    <w:rsid w:val="03327DBE"/>
    <w:rsid w:val="03363D08"/>
    <w:rsid w:val="035B5113"/>
    <w:rsid w:val="036D7C8B"/>
    <w:rsid w:val="03D96CB9"/>
    <w:rsid w:val="03DB5FF4"/>
    <w:rsid w:val="03E62701"/>
    <w:rsid w:val="03FA043B"/>
    <w:rsid w:val="044F28FD"/>
    <w:rsid w:val="045A2930"/>
    <w:rsid w:val="04BB07D1"/>
    <w:rsid w:val="04E02AD5"/>
    <w:rsid w:val="05292F2C"/>
    <w:rsid w:val="052B5DDF"/>
    <w:rsid w:val="05455EB6"/>
    <w:rsid w:val="055B37BE"/>
    <w:rsid w:val="057E3096"/>
    <w:rsid w:val="05856092"/>
    <w:rsid w:val="059252EE"/>
    <w:rsid w:val="059324E1"/>
    <w:rsid w:val="05AC5D32"/>
    <w:rsid w:val="05D172F6"/>
    <w:rsid w:val="05DE56E1"/>
    <w:rsid w:val="05F466F6"/>
    <w:rsid w:val="06295995"/>
    <w:rsid w:val="063E7C69"/>
    <w:rsid w:val="064511D9"/>
    <w:rsid w:val="065803C0"/>
    <w:rsid w:val="065F1E32"/>
    <w:rsid w:val="067B66E6"/>
    <w:rsid w:val="06900FAA"/>
    <w:rsid w:val="06C158EB"/>
    <w:rsid w:val="06DC1D77"/>
    <w:rsid w:val="06F54EFC"/>
    <w:rsid w:val="07063233"/>
    <w:rsid w:val="0766489D"/>
    <w:rsid w:val="076958B5"/>
    <w:rsid w:val="07760146"/>
    <w:rsid w:val="077B4A5D"/>
    <w:rsid w:val="078A74B6"/>
    <w:rsid w:val="07961EFB"/>
    <w:rsid w:val="07CA5C1E"/>
    <w:rsid w:val="08110579"/>
    <w:rsid w:val="08195253"/>
    <w:rsid w:val="08565534"/>
    <w:rsid w:val="088861D7"/>
    <w:rsid w:val="0891753F"/>
    <w:rsid w:val="08DD4532"/>
    <w:rsid w:val="092B34F0"/>
    <w:rsid w:val="09307F5B"/>
    <w:rsid w:val="09661851"/>
    <w:rsid w:val="096A38A1"/>
    <w:rsid w:val="096B26B4"/>
    <w:rsid w:val="09AF52F9"/>
    <w:rsid w:val="0A1026E6"/>
    <w:rsid w:val="0A8D506F"/>
    <w:rsid w:val="0A8F7AAE"/>
    <w:rsid w:val="0A9E4781"/>
    <w:rsid w:val="0AA44C99"/>
    <w:rsid w:val="0AAB1C36"/>
    <w:rsid w:val="0ABD324F"/>
    <w:rsid w:val="0AD65A5C"/>
    <w:rsid w:val="0AE719C8"/>
    <w:rsid w:val="0B0D7AE0"/>
    <w:rsid w:val="0B1B7E71"/>
    <w:rsid w:val="0BAD643E"/>
    <w:rsid w:val="0BC51C14"/>
    <w:rsid w:val="0C06290B"/>
    <w:rsid w:val="0C1967AA"/>
    <w:rsid w:val="0CBD14EA"/>
    <w:rsid w:val="0D1D309C"/>
    <w:rsid w:val="0D28314A"/>
    <w:rsid w:val="0D567646"/>
    <w:rsid w:val="0D61063A"/>
    <w:rsid w:val="0D7E5E3A"/>
    <w:rsid w:val="0D8373DE"/>
    <w:rsid w:val="0D8F43F0"/>
    <w:rsid w:val="0D937963"/>
    <w:rsid w:val="0DDA7831"/>
    <w:rsid w:val="0DED15F7"/>
    <w:rsid w:val="0DF26CD2"/>
    <w:rsid w:val="0E1924B1"/>
    <w:rsid w:val="0E2F75DE"/>
    <w:rsid w:val="0E5219FA"/>
    <w:rsid w:val="0E635D47"/>
    <w:rsid w:val="0E752FE8"/>
    <w:rsid w:val="0E7A161E"/>
    <w:rsid w:val="0E8A5B8B"/>
    <w:rsid w:val="0E9A78A5"/>
    <w:rsid w:val="0E9C4C44"/>
    <w:rsid w:val="0EC974A6"/>
    <w:rsid w:val="0EE4486D"/>
    <w:rsid w:val="0F193EA5"/>
    <w:rsid w:val="0F33316C"/>
    <w:rsid w:val="0F3C4963"/>
    <w:rsid w:val="0F437829"/>
    <w:rsid w:val="0F59109C"/>
    <w:rsid w:val="0F65252B"/>
    <w:rsid w:val="0F6A5D66"/>
    <w:rsid w:val="0F7F5DB9"/>
    <w:rsid w:val="0FB0163B"/>
    <w:rsid w:val="0FDC60A8"/>
    <w:rsid w:val="102311F0"/>
    <w:rsid w:val="105D7DA7"/>
    <w:rsid w:val="107574AB"/>
    <w:rsid w:val="10786D3F"/>
    <w:rsid w:val="10935E06"/>
    <w:rsid w:val="10AA729C"/>
    <w:rsid w:val="10AE2E64"/>
    <w:rsid w:val="10CC19C9"/>
    <w:rsid w:val="10D54911"/>
    <w:rsid w:val="10FA7DC5"/>
    <w:rsid w:val="11147DB8"/>
    <w:rsid w:val="113E72D6"/>
    <w:rsid w:val="11623650"/>
    <w:rsid w:val="116317FB"/>
    <w:rsid w:val="118D09E4"/>
    <w:rsid w:val="11A26C54"/>
    <w:rsid w:val="11A802A6"/>
    <w:rsid w:val="11AA0DF9"/>
    <w:rsid w:val="1209252F"/>
    <w:rsid w:val="12131ED0"/>
    <w:rsid w:val="121E6805"/>
    <w:rsid w:val="123B5C8F"/>
    <w:rsid w:val="12B234EB"/>
    <w:rsid w:val="12DB1CB8"/>
    <w:rsid w:val="12E07C99"/>
    <w:rsid w:val="132745ED"/>
    <w:rsid w:val="13335BC1"/>
    <w:rsid w:val="136607BB"/>
    <w:rsid w:val="14032A77"/>
    <w:rsid w:val="141D0383"/>
    <w:rsid w:val="14347830"/>
    <w:rsid w:val="149F77FF"/>
    <w:rsid w:val="14D54E92"/>
    <w:rsid w:val="14F066B9"/>
    <w:rsid w:val="14FE0B44"/>
    <w:rsid w:val="15420202"/>
    <w:rsid w:val="15877CC9"/>
    <w:rsid w:val="162A4146"/>
    <w:rsid w:val="16354C97"/>
    <w:rsid w:val="16397C1C"/>
    <w:rsid w:val="164E1833"/>
    <w:rsid w:val="16875BC1"/>
    <w:rsid w:val="16B72102"/>
    <w:rsid w:val="16CB1E6E"/>
    <w:rsid w:val="170878B8"/>
    <w:rsid w:val="17215F32"/>
    <w:rsid w:val="177077EB"/>
    <w:rsid w:val="17712FB9"/>
    <w:rsid w:val="177F4AA5"/>
    <w:rsid w:val="17886DB4"/>
    <w:rsid w:val="1790747A"/>
    <w:rsid w:val="17A22B95"/>
    <w:rsid w:val="17B63878"/>
    <w:rsid w:val="17FD0BC2"/>
    <w:rsid w:val="18114B8C"/>
    <w:rsid w:val="18385D61"/>
    <w:rsid w:val="184F0D8B"/>
    <w:rsid w:val="18750005"/>
    <w:rsid w:val="1876380C"/>
    <w:rsid w:val="188F0E56"/>
    <w:rsid w:val="18954A08"/>
    <w:rsid w:val="189D7A05"/>
    <w:rsid w:val="18B13713"/>
    <w:rsid w:val="19054090"/>
    <w:rsid w:val="191863B5"/>
    <w:rsid w:val="192C32C5"/>
    <w:rsid w:val="19382A8D"/>
    <w:rsid w:val="193B1B77"/>
    <w:rsid w:val="194D283F"/>
    <w:rsid w:val="19AC33E0"/>
    <w:rsid w:val="19C04F87"/>
    <w:rsid w:val="1A3115D5"/>
    <w:rsid w:val="1A347569"/>
    <w:rsid w:val="1A4C2908"/>
    <w:rsid w:val="1A8A1923"/>
    <w:rsid w:val="1AB735CB"/>
    <w:rsid w:val="1B461D75"/>
    <w:rsid w:val="1B553FBA"/>
    <w:rsid w:val="1B6A6424"/>
    <w:rsid w:val="1C0C0F5F"/>
    <w:rsid w:val="1C13680B"/>
    <w:rsid w:val="1C1F5F9B"/>
    <w:rsid w:val="1C580107"/>
    <w:rsid w:val="1C5825F7"/>
    <w:rsid w:val="1C720613"/>
    <w:rsid w:val="1C792883"/>
    <w:rsid w:val="1C8B7384"/>
    <w:rsid w:val="1C936602"/>
    <w:rsid w:val="1CA5292D"/>
    <w:rsid w:val="1CD80605"/>
    <w:rsid w:val="1D0E793A"/>
    <w:rsid w:val="1D39697D"/>
    <w:rsid w:val="1D3D1241"/>
    <w:rsid w:val="1DA66A0E"/>
    <w:rsid w:val="1DAD560F"/>
    <w:rsid w:val="1DAF446E"/>
    <w:rsid w:val="1DB50D04"/>
    <w:rsid w:val="1DB82DFA"/>
    <w:rsid w:val="1DCA4246"/>
    <w:rsid w:val="1DFD007C"/>
    <w:rsid w:val="1E1E55DF"/>
    <w:rsid w:val="1E2541C3"/>
    <w:rsid w:val="1E5636E6"/>
    <w:rsid w:val="1E5675A2"/>
    <w:rsid w:val="1E7012AA"/>
    <w:rsid w:val="1F240BF4"/>
    <w:rsid w:val="1F8F118B"/>
    <w:rsid w:val="1FA41FB2"/>
    <w:rsid w:val="1FC37D71"/>
    <w:rsid w:val="1FD05E26"/>
    <w:rsid w:val="1FE43F73"/>
    <w:rsid w:val="20007BAE"/>
    <w:rsid w:val="202D2CD5"/>
    <w:rsid w:val="20347671"/>
    <w:rsid w:val="2082299B"/>
    <w:rsid w:val="20965E23"/>
    <w:rsid w:val="20C259DD"/>
    <w:rsid w:val="20E23EB5"/>
    <w:rsid w:val="21051E2D"/>
    <w:rsid w:val="220300C0"/>
    <w:rsid w:val="22261E9A"/>
    <w:rsid w:val="22305F59"/>
    <w:rsid w:val="228A2FAB"/>
    <w:rsid w:val="22971E38"/>
    <w:rsid w:val="22BB33C8"/>
    <w:rsid w:val="22BE160D"/>
    <w:rsid w:val="22D12A91"/>
    <w:rsid w:val="232A7349"/>
    <w:rsid w:val="233D26F9"/>
    <w:rsid w:val="236478D2"/>
    <w:rsid w:val="23651D96"/>
    <w:rsid w:val="23900FCB"/>
    <w:rsid w:val="23975B86"/>
    <w:rsid w:val="23D10704"/>
    <w:rsid w:val="23E97DD8"/>
    <w:rsid w:val="240916F4"/>
    <w:rsid w:val="244E7068"/>
    <w:rsid w:val="2471674B"/>
    <w:rsid w:val="248949DD"/>
    <w:rsid w:val="249F7746"/>
    <w:rsid w:val="24AB1C0A"/>
    <w:rsid w:val="24B108F5"/>
    <w:rsid w:val="24BA482D"/>
    <w:rsid w:val="24BF0383"/>
    <w:rsid w:val="24D36679"/>
    <w:rsid w:val="24E03F24"/>
    <w:rsid w:val="24EA15C8"/>
    <w:rsid w:val="24F82F93"/>
    <w:rsid w:val="25302B96"/>
    <w:rsid w:val="257C55BF"/>
    <w:rsid w:val="258D52F7"/>
    <w:rsid w:val="258F76CD"/>
    <w:rsid w:val="259D12BF"/>
    <w:rsid w:val="26377520"/>
    <w:rsid w:val="263779C7"/>
    <w:rsid w:val="264462A4"/>
    <w:rsid w:val="267E48E0"/>
    <w:rsid w:val="26960713"/>
    <w:rsid w:val="26CB05F6"/>
    <w:rsid w:val="26D91DD8"/>
    <w:rsid w:val="26FB65F6"/>
    <w:rsid w:val="27312DDE"/>
    <w:rsid w:val="273215C0"/>
    <w:rsid w:val="27394A7D"/>
    <w:rsid w:val="27540E2E"/>
    <w:rsid w:val="27592160"/>
    <w:rsid w:val="27793A3D"/>
    <w:rsid w:val="279E18C3"/>
    <w:rsid w:val="27DD30A7"/>
    <w:rsid w:val="27F17CD7"/>
    <w:rsid w:val="28006998"/>
    <w:rsid w:val="280E5A65"/>
    <w:rsid w:val="281E5F1F"/>
    <w:rsid w:val="283D0FBE"/>
    <w:rsid w:val="285A2264"/>
    <w:rsid w:val="28A85435"/>
    <w:rsid w:val="28FB39ED"/>
    <w:rsid w:val="290419A4"/>
    <w:rsid w:val="294A42B7"/>
    <w:rsid w:val="29966AAC"/>
    <w:rsid w:val="29971CB6"/>
    <w:rsid w:val="2998486F"/>
    <w:rsid w:val="29DA6EE6"/>
    <w:rsid w:val="29EA28D8"/>
    <w:rsid w:val="2A206CD3"/>
    <w:rsid w:val="2A317A71"/>
    <w:rsid w:val="2A3C0597"/>
    <w:rsid w:val="2A5F16B1"/>
    <w:rsid w:val="2A756869"/>
    <w:rsid w:val="2B3E6C7A"/>
    <w:rsid w:val="2B52599F"/>
    <w:rsid w:val="2B6761B2"/>
    <w:rsid w:val="2B6C7CBA"/>
    <w:rsid w:val="2B7D2676"/>
    <w:rsid w:val="2BA13B30"/>
    <w:rsid w:val="2BB54933"/>
    <w:rsid w:val="2BD64B03"/>
    <w:rsid w:val="2BE62E33"/>
    <w:rsid w:val="2C5A2535"/>
    <w:rsid w:val="2C7F0D2E"/>
    <w:rsid w:val="2CB341BC"/>
    <w:rsid w:val="2CE66ED5"/>
    <w:rsid w:val="2D11405D"/>
    <w:rsid w:val="2D312FA0"/>
    <w:rsid w:val="2D4421A1"/>
    <w:rsid w:val="2D5E1836"/>
    <w:rsid w:val="2D876D13"/>
    <w:rsid w:val="2DDE110F"/>
    <w:rsid w:val="2DDF2177"/>
    <w:rsid w:val="2E524069"/>
    <w:rsid w:val="2E727879"/>
    <w:rsid w:val="2E8D43CA"/>
    <w:rsid w:val="2F10771C"/>
    <w:rsid w:val="2F5C67B8"/>
    <w:rsid w:val="2F6022BA"/>
    <w:rsid w:val="2F911A4F"/>
    <w:rsid w:val="2F9503D6"/>
    <w:rsid w:val="2F9F4ADA"/>
    <w:rsid w:val="2FAB0637"/>
    <w:rsid w:val="2FFA0644"/>
    <w:rsid w:val="30054C01"/>
    <w:rsid w:val="301E295E"/>
    <w:rsid w:val="30207CAD"/>
    <w:rsid w:val="303747A2"/>
    <w:rsid w:val="3076765A"/>
    <w:rsid w:val="30AE5499"/>
    <w:rsid w:val="30F65AA7"/>
    <w:rsid w:val="311A4B8E"/>
    <w:rsid w:val="319D25F1"/>
    <w:rsid w:val="31B663B6"/>
    <w:rsid w:val="322029DE"/>
    <w:rsid w:val="32237142"/>
    <w:rsid w:val="323F7214"/>
    <w:rsid w:val="325F00C0"/>
    <w:rsid w:val="3268779F"/>
    <w:rsid w:val="327D3CC9"/>
    <w:rsid w:val="32D1436A"/>
    <w:rsid w:val="330049CE"/>
    <w:rsid w:val="33367FB4"/>
    <w:rsid w:val="33784780"/>
    <w:rsid w:val="33B804DB"/>
    <w:rsid w:val="33DE19A5"/>
    <w:rsid w:val="340D0451"/>
    <w:rsid w:val="3429607F"/>
    <w:rsid w:val="342F0935"/>
    <w:rsid w:val="346C7233"/>
    <w:rsid w:val="34CD1E07"/>
    <w:rsid w:val="35352E7D"/>
    <w:rsid w:val="353E5E3B"/>
    <w:rsid w:val="358151D6"/>
    <w:rsid w:val="359233F8"/>
    <w:rsid w:val="35991F56"/>
    <w:rsid w:val="35A26FFD"/>
    <w:rsid w:val="35A82482"/>
    <w:rsid w:val="35BD09E8"/>
    <w:rsid w:val="35C86F87"/>
    <w:rsid w:val="35FD41B4"/>
    <w:rsid w:val="36084107"/>
    <w:rsid w:val="362F6B40"/>
    <w:rsid w:val="36545050"/>
    <w:rsid w:val="3654622B"/>
    <w:rsid w:val="365D7C9B"/>
    <w:rsid w:val="366B0BA5"/>
    <w:rsid w:val="367B6A4A"/>
    <w:rsid w:val="36EA26EF"/>
    <w:rsid w:val="36ED22DC"/>
    <w:rsid w:val="3707608B"/>
    <w:rsid w:val="37113938"/>
    <w:rsid w:val="37115F51"/>
    <w:rsid w:val="372C70B6"/>
    <w:rsid w:val="37403D5B"/>
    <w:rsid w:val="377F6DF5"/>
    <w:rsid w:val="37870F3B"/>
    <w:rsid w:val="379605F9"/>
    <w:rsid w:val="38124631"/>
    <w:rsid w:val="38126CB1"/>
    <w:rsid w:val="381760D4"/>
    <w:rsid w:val="38605209"/>
    <w:rsid w:val="387E6501"/>
    <w:rsid w:val="38A212A3"/>
    <w:rsid w:val="38BD0989"/>
    <w:rsid w:val="394713D0"/>
    <w:rsid w:val="39486C4B"/>
    <w:rsid w:val="397E1B11"/>
    <w:rsid w:val="398E4AF0"/>
    <w:rsid w:val="39C63CF0"/>
    <w:rsid w:val="39C71EBC"/>
    <w:rsid w:val="39EA3BBB"/>
    <w:rsid w:val="3A1221CD"/>
    <w:rsid w:val="3A215EE1"/>
    <w:rsid w:val="3A551EC2"/>
    <w:rsid w:val="3AA455DA"/>
    <w:rsid w:val="3ABD6B14"/>
    <w:rsid w:val="3AD501E6"/>
    <w:rsid w:val="3AE570F3"/>
    <w:rsid w:val="3B2537A3"/>
    <w:rsid w:val="3B451F67"/>
    <w:rsid w:val="3BA57214"/>
    <w:rsid w:val="3BA801DA"/>
    <w:rsid w:val="3BC85C38"/>
    <w:rsid w:val="3C106854"/>
    <w:rsid w:val="3C150C0F"/>
    <w:rsid w:val="3C1C0729"/>
    <w:rsid w:val="3C2F7355"/>
    <w:rsid w:val="3C343B6B"/>
    <w:rsid w:val="3C410A80"/>
    <w:rsid w:val="3C5B1A56"/>
    <w:rsid w:val="3C5D2F38"/>
    <w:rsid w:val="3C676009"/>
    <w:rsid w:val="3C8D22C3"/>
    <w:rsid w:val="3C8D2A11"/>
    <w:rsid w:val="3C930D62"/>
    <w:rsid w:val="3CFF8073"/>
    <w:rsid w:val="3D24631B"/>
    <w:rsid w:val="3D33089E"/>
    <w:rsid w:val="3D3358BC"/>
    <w:rsid w:val="3D3C526B"/>
    <w:rsid w:val="3D6E32B3"/>
    <w:rsid w:val="3D811EDC"/>
    <w:rsid w:val="3D943991"/>
    <w:rsid w:val="3D993E68"/>
    <w:rsid w:val="3DA31D67"/>
    <w:rsid w:val="3DEF6630"/>
    <w:rsid w:val="3DF30098"/>
    <w:rsid w:val="3E585FA0"/>
    <w:rsid w:val="3E8E2455"/>
    <w:rsid w:val="3E9A702D"/>
    <w:rsid w:val="3EAD7FE9"/>
    <w:rsid w:val="3ECA491C"/>
    <w:rsid w:val="3F037C9B"/>
    <w:rsid w:val="3F3C08F2"/>
    <w:rsid w:val="3F4A1AFA"/>
    <w:rsid w:val="3F725676"/>
    <w:rsid w:val="3F7B2068"/>
    <w:rsid w:val="3FA96941"/>
    <w:rsid w:val="3FBB5EF0"/>
    <w:rsid w:val="3FD46D88"/>
    <w:rsid w:val="3FE610BC"/>
    <w:rsid w:val="3FFC435A"/>
    <w:rsid w:val="40781E78"/>
    <w:rsid w:val="407E7DCE"/>
    <w:rsid w:val="40A86C3D"/>
    <w:rsid w:val="412D6D30"/>
    <w:rsid w:val="413C3729"/>
    <w:rsid w:val="415E78D0"/>
    <w:rsid w:val="417E6BFB"/>
    <w:rsid w:val="418A001B"/>
    <w:rsid w:val="41B33950"/>
    <w:rsid w:val="41C028E7"/>
    <w:rsid w:val="41D502C2"/>
    <w:rsid w:val="41DB2650"/>
    <w:rsid w:val="41FD7686"/>
    <w:rsid w:val="4204389A"/>
    <w:rsid w:val="424C78D1"/>
    <w:rsid w:val="42892654"/>
    <w:rsid w:val="429813C4"/>
    <w:rsid w:val="43431F83"/>
    <w:rsid w:val="434D2805"/>
    <w:rsid w:val="43811186"/>
    <w:rsid w:val="439D2045"/>
    <w:rsid w:val="43D832D5"/>
    <w:rsid w:val="442559D7"/>
    <w:rsid w:val="444D414D"/>
    <w:rsid w:val="4465144F"/>
    <w:rsid w:val="44737AEC"/>
    <w:rsid w:val="451436B4"/>
    <w:rsid w:val="453C0F84"/>
    <w:rsid w:val="455F310E"/>
    <w:rsid w:val="45842FD3"/>
    <w:rsid w:val="459F10E5"/>
    <w:rsid w:val="45AC5CF4"/>
    <w:rsid w:val="45CB04FC"/>
    <w:rsid w:val="45CB4959"/>
    <w:rsid w:val="468A76A5"/>
    <w:rsid w:val="46C3247C"/>
    <w:rsid w:val="470518DC"/>
    <w:rsid w:val="47114F6B"/>
    <w:rsid w:val="47787BF7"/>
    <w:rsid w:val="47922B29"/>
    <w:rsid w:val="47A66C2D"/>
    <w:rsid w:val="47A87740"/>
    <w:rsid w:val="47CB38EF"/>
    <w:rsid w:val="47FF3ECB"/>
    <w:rsid w:val="481048C3"/>
    <w:rsid w:val="48394459"/>
    <w:rsid w:val="489B3F0E"/>
    <w:rsid w:val="48AE76B9"/>
    <w:rsid w:val="48C03B12"/>
    <w:rsid w:val="49093B1F"/>
    <w:rsid w:val="492B03C7"/>
    <w:rsid w:val="496F6B9E"/>
    <w:rsid w:val="497B28B8"/>
    <w:rsid w:val="49836E07"/>
    <w:rsid w:val="49A4100B"/>
    <w:rsid w:val="49AD6892"/>
    <w:rsid w:val="49BF1B50"/>
    <w:rsid w:val="49D80FC6"/>
    <w:rsid w:val="49D9791A"/>
    <w:rsid w:val="4A083B5E"/>
    <w:rsid w:val="4A7652C8"/>
    <w:rsid w:val="4AF46372"/>
    <w:rsid w:val="4B130296"/>
    <w:rsid w:val="4B645B99"/>
    <w:rsid w:val="4B6D29E8"/>
    <w:rsid w:val="4B7C493C"/>
    <w:rsid w:val="4BAD55C2"/>
    <w:rsid w:val="4BB96797"/>
    <w:rsid w:val="4BCD31E2"/>
    <w:rsid w:val="4BEB208F"/>
    <w:rsid w:val="4C111E55"/>
    <w:rsid w:val="4C123D16"/>
    <w:rsid w:val="4C160596"/>
    <w:rsid w:val="4C3D7EE3"/>
    <w:rsid w:val="4C4E6D33"/>
    <w:rsid w:val="4C5D2366"/>
    <w:rsid w:val="4CCC43D5"/>
    <w:rsid w:val="4D485F65"/>
    <w:rsid w:val="4D64641B"/>
    <w:rsid w:val="4D8508BF"/>
    <w:rsid w:val="4DA16EA9"/>
    <w:rsid w:val="4E2D2877"/>
    <w:rsid w:val="4E7025BB"/>
    <w:rsid w:val="4EE53D06"/>
    <w:rsid w:val="4F937E3D"/>
    <w:rsid w:val="4FC408C1"/>
    <w:rsid w:val="4FC76D47"/>
    <w:rsid w:val="4FF551D6"/>
    <w:rsid w:val="4FFB7175"/>
    <w:rsid w:val="502F1383"/>
    <w:rsid w:val="506F2070"/>
    <w:rsid w:val="50713B2F"/>
    <w:rsid w:val="507C7407"/>
    <w:rsid w:val="5089325C"/>
    <w:rsid w:val="50F16F44"/>
    <w:rsid w:val="50F912D0"/>
    <w:rsid w:val="51371A28"/>
    <w:rsid w:val="51476014"/>
    <w:rsid w:val="51514FD8"/>
    <w:rsid w:val="5189448D"/>
    <w:rsid w:val="51C571AE"/>
    <w:rsid w:val="51D25108"/>
    <w:rsid w:val="51D25CFF"/>
    <w:rsid w:val="51E15358"/>
    <w:rsid w:val="51E345EA"/>
    <w:rsid w:val="51E8518F"/>
    <w:rsid w:val="520E07B9"/>
    <w:rsid w:val="52813637"/>
    <w:rsid w:val="529A021B"/>
    <w:rsid w:val="53724BE9"/>
    <w:rsid w:val="53856D79"/>
    <w:rsid w:val="5386651E"/>
    <w:rsid w:val="53A3654F"/>
    <w:rsid w:val="53D82009"/>
    <w:rsid w:val="53EF333F"/>
    <w:rsid w:val="53F04D0A"/>
    <w:rsid w:val="53FB4609"/>
    <w:rsid w:val="540753A1"/>
    <w:rsid w:val="540D7920"/>
    <w:rsid w:val="541C2566"/>
    <w:rsid w:val="548C6A02"/>
    <w:rsid w:val="548D70CD"/>
    <w:rsid w:val="548F58FD"/>
    <w:rsid w:val="54945C14"/>
    <w:rsid w:val="54AB4929"/>
    <w:rsid w:val="54C63BD6"/>
    <w:rsid w:val="54EB1352"/>
    <w:rsid w:val="55553E45"/>
    <w:rsid w:val="555803B9"/>
    <w:rsid w:val="559D43FA"/>
    <w:rsid w:val="55E959C1"/>
    <w:rsid w:val="55F01EC5"/>
    <w:rsid w:val="55FB5400"/>
    <w:rsid w:val="560277CF"/>
    <w:rsid w:val="561713DC"/>
    <w:rsid w:val="5647777B"/>
    <w:rsid w:val="566C4703"/>
    <w:rsid w:val="56846447"/>
    <w:rsid w:val="569758CF"/>
    <w:rsid w:val="56BE15FA"/>
    <w:rsid w:val="56F44958"/>
    <w:rsid w:val="56FB3AFF"/>
    <w:rsid w:val="5717081A"/>
    <w:rsid w:val="57252E84"/>
    <w:rsid w:val="57394D60"/>
    <w:rsid w:val="574B4747"/>
    <w:rsid w:val="57C245A7"/>
    <w:rsid w:val="57CF5322"/>
    <w:rsid w:val="586C07F2"/>
    <w:rsid w:val="589278DB"/>
    <w:rsid w:val="58C7370B"/>
    <w:rsid w:val="590C3977"/>
    <w:rsid w:val="595F4060"/>
    <w:rsid w:val="597746D7"/>
    <w:rsid w:val="598E5184"/>
    <w:rsid w:val="59952666"/>
    <w:rsid w:val="59C3245D"/>
    <w:rsid w:val="59C5217D"/>
    <w:rsid w:val="59D95943"/>
    <w:rsid w:val="59EF2466"/>
    <w:rsid w:val="5A18066E"/>
    <w:rsid w:val="5A5E3C17"/>
    <w:rsid w:val="5A6E43B5"/>
    <w:rsid w:val="5A8143C7"/>
    <w:rsid w:val="5A991606"/>
    <w:rsid w:val="5AFD28A1"/>
    <w:rsid w:val="5B0F797E"/>
    <w:rsid w:val="5B5F23BA"/>
    <w:rsid w:val="5BA73B6B"/>
    <w:rsid w:val="5C1A7214"/>
    <w:rsid w:val="5C226D88"/>
    <w:rsid w:val="5C2578EE"/>
    <w:rsid w:val="5CA07C82"/>
    <w:rsid w:val="5CB73E8F"/>
    <w:rsid w:val="5CBC2829"/>
    <w:rsid w:val="5CDC26A9"/>
    <w:rsid w:val="5CEA5440"/>
    <w:rsid w:val="5D0477CD"/>
    <w:rsid w:val="5D050C3C"/>
    <w:rsid w:val="5D13077F"/>
    <w:rsid w:val="5D423AD9"/>
    <w:rsid w:val="5D5F7864"/>
    <w:rsid w:val="5DA82B70"/>
    <w:rsid w:val="5DDC3D25"/>
    <w:rsid w:val="5DEE6C5D"/>
    <w:rsid w:val="5DEE7257"/>
    <w:rsid w:val="5DFB6AE2"/>
    <w:rsid w:val="5E652175"/>
    <w:rsid w:val="5E685FB6"/>
    <w:rsid w:val="5F085284"/>
    <w:rsid w:val="5F1C2447"/>
    <w:rsid w:val="5F237E79"/>
    <w:rsid w:val="5F852826"/>
    <w:rsid w:val="5F877743"/>
    <w:rsid w:val="5F972152"/>
    <w:rsid w:val="5FA33D22"/>
    <w:rsid w:val="5FB759DF"/>
    <w:rsid w:val="5FC6287B"/>
    <w:rsid w:val="5FDB5357"/>
    <w:rsid w:val="60573AA1"/>
    <w:rsid w:val="606628F4"/>
    <w:rsid w:val="60770647"/>
    <w:rsid w:val="60C27732"/>
    <w:rsid w:val="60C74A55"/>
    <w:rsid w:val="61183E7E"/>
    <w:rsid w:val="6128410A"/>
    <w:rsid w:val="617E2EAC"/>
    <w:rsid w:val="617E30FD"/>
    <w:rsid w:val="61AA3E73"/>
    <w:rsid w:val="61B675D3"/>
    <w:rsid w:val="623278BB"/>
    <w:rsid w:val="629E2F1B"/>
    <w:rsid w:val="62A11912"/>
    <w:rsid w:val="62A54DBA"/>
    <w:rsid w:val="62B33773"/>
    <w:rsid w:val="62F568DF"/>
    <w:rsid w:val="639F2172"/>
    <w:rsid w:val="63B84687"/>
    <w:rsid w:val="63C139AA"/>
    <w:rsid w:val="63DE486D"/>
    <w:rsid w:val="6406474D"/>
    <w:rsid w:val="64816C77"/>
    <w:rsid w:val="649B23CD"/>
    <w:rsid w:val="64AF414A"/>
    <w:rsid w:val="64B226CB"/>
    <w:rsid w:val="64D273B6"/>
    <w:rsid w:val="64F02D08"/>
    <w:rsid w:val="650227B3"/>
    <w:rsid w:val="65182978"/>
    <w:rsid w:val="65FD6600"/>
    <w:rsid w:val="660C6411"/>
    <w:rsid w:val="660E606A"/>
    <w:rsid w:val="66285F04"/>
    <w:rsid w:val="6649589D"/>
    <w:rsid w:val="6653561F"/>
    <w:rsid w:val="66946E1E"/>
    <w:rsid w:val="671A4389"/>
    <w:rsid w:val="67252902"/>
    <w:rsid w:val="673B3A73"/>
    <w:rsid w:val="6788421D"/>
    <w:rsid w:val="678D1FDB"/>
    <w:rsid w:val="67AE0837"/>
    <w:rsid w:val="67B1528C"/>
    <w:rsid w:val="68061242"/>
    <w:rsid w:val="68282249"/>
    <w:rsid w:val="68325C12"/>
    <w:rsid w:val="68465157"/>
    <w:rsid w:val="686234A9"/>
    <w:rsid w:val="6874640B"/>
    <w:rsid w:val="68855343"/>
    <w:rsid w:val="68FA373C"/>
    <w:rsid w:val="691F166E"/>
    <w:rsid w:val="6951749E"/>
    <w:rsid w:val="69921D8A"/>
    <w:rsid w:val="6998065D"/>
    <w:rsid w:val="69A12EB7"/>
    <w:rsid w:val="69B47B0D"/>
    <w:rsid w:val="69C04495"/>
    <w:rsid w:val="6A0E03D1"/>
    <w:rsid w:val="6A2353BE"/>
    <w:rsid w:val="6A936CD9"/>
    <w:rsid w:val="6AA612C8"/>
    <w:rsid w:val="6AA8001A"/>
    <w:rsid w:val="6B5B225B"/>
    <w:rsid w:val="6BA12186"/>
    <w:rsid w:val="6C2D74E8"/>
    <w:rsid w:val="6C4D1806"/>
    <w:rsid w:val="6C6A14AA"/>
    <w:rsid w:val="6C7925E0"/>
    <w:rsid w:val="6C8B3AD3"/>
    <w:rsid w:val="6CF258A5"/>
    <w:rsid w:val="6CFE00ED"/>
    <w:rsid w:val="6D222844"/>
    <w:rsid w:val="6D4A60D9"/>
    <w:rsid w:val="6D8049BB"/>
    <w:rsid w:val="6DB95EA9"/>
    <w:rsid w:val="6DD95D94"/>
    <w:rsid w:val="6DE951A3"/>
    <w:rsid w:val="6E0B1F9A"/>
    <w:rsid w:val="6E7363FF"/>
    <w:rsid w:val="6E8B01B0"/>
    <w:rsid w:val="6E9A1915"/>
    <w:rsid w:val="6E9E7B6D"/>
    <w:rsid w:val="6EA71843"/>
    <w:rsid w:val="6EDC1770"/>
    <w:rsid w:val="6EEC004A"/>
    <w:rsid w:val="6EF23A11"/>
    <w:rsid w:val="6F134658"/>
    <w:rsid w:val="6F2B01B8"/>
    <w:rsid w:val="6F472A78"/>
    <w:rsid w:val="6F626CCD"/>
    <w:rsid w:val="6FC56016"/>
    <w:rsid w:val="70270F27"/>
    <w:rsid w:val="705A6CB9"/>
    <w:rsid w:val="70686ED6"/>
    <w:rsid w:val="709232C7"/>
    <w:rsid w:val="70CC3AD8"/>
    <w:rsid w:val="70D4512A"/>
    <w:rsid w:val="712A608F"/>
    <w:rsid w:val="714F4765"/>
    <w:rsid w:val="715F1E52"/>
    <w:rsid w:val="71887B19"/>
    <w:rsid w:val="71B97C79"/>
    <w:rsid w:val="71F03243"/>
    <w:rsid w:val="721C3EE8"/>
    <w:rsid w:val="728E612C"/>
    <w:rsid w:val="72911933"/>
    <w:rsid w:val="72BD723B"/>
    <w:rsid w:val="72C6790B"/>
    <w:rsid w:val="72D44F0C"/>
    <w:rsid w:val="7315385F"/>
    <w:rsid w:val="7320237E"/>
    <w:rsid w:val="73241F28"/>
    <w:rsid w:val="7325176D"/>
    <w:rsid w:val="732E6A0D"/>
    <w:rsid w:val="73383EF3"/>
    <w:rsid w:val="736B0D55"/>
    <w:rsid w:val="73816111"/>
    <w:rsid w:val="739C53F0"/>
    <w:rsid w:val="74443EDA"/>
    <w:rsid w:val="746A5CC3"/>
    <w:rsid w:val="746D2A12"/>
    <w:rsid w:val="74740AAD"/>
    <w:rsid w:val="747B294E"/>
    <w:rsid w:val="74820F33"/>
    <w:rsid w:val="74AF465E"/>
    <w:rsid w:val="74CE77ED"/>
    <w:rsid w:val="74D035B5"/>
    <w:rsid w:val="74D3014B"/>
    <w:rsid w:val="74E24611"/>
    <w:rsid w:val="74FE3D2A"/>
    <w:rsid w:val="7523499D"/>
    <w:rsid w:val="75647B9A"/>
    <w:rsid w:val="756A0C31"/>
    <w:rsid w:val="757474D6"/>
    <w:rsid w:val="757A0725"/>
    <w:rsid w:val="757D6202"/>
    <w:rsid w:val="758725D9"/>
    <w:rsid w:val="75A854CE"/>
    <w:rsid w:val="75DB2D3E"/>
    <w:rsid w:val="76026801"/>
    <w:rsid w:val="7618291A"/>
    <w:rsid w:val="761D583F"/>
    <w:rsid w:val="762A3463"/>
    <w:rsid w:val="76406838"/>
    <w:rsid w:val="76585320"/>
    <w:rsid w:val="76691907"/>
    <w:rsid w:val="76AB2D04"/>
    <w:rsid w:val="76D21615"/>
    <w:rsid w:val="76DA5B2A"/>
    <w:rsid w:val="772110EC"/>
    <w:rsid w:val="7741073B"/>
    <w:rsid w:val="77656041"/>
    <w:rsid w:val="7766619A"/>
    <w:rsid w:val="777032F2"/>
    <w:rsid w:val="778209BE"/>
    <w:rsid w:val="77AA324D"/>
    <w:rsid w:val="77D5755B"/>
    <w:rsid w:val="78041597"/>
    <w:rsid w:val="786668AA"/>
    <w:rsid w:val="78702510"/>
    <w:rsid w:val="79200D1B"/>
    <w:rsid w:val="792B785B"/>
    <w:rsid w:val="794103EC"/>
    <w:rsid w:val="795B1D53"/>
    <w:rsid w:val="79811689"/>
    <w:rsid w:val="79990120"/>
    <w:rsid w:val="79B75C42"/>
    <w:rsid w:val="7A0C0FDA"/>
    <w:rsid w:val="7A890FDB"/>
    <w:rsid w:val="7ACC0324"/>
    <w:rsid w:val="7B384341"/>
    <w:rsid w:val="7B9150F6"/>
    <w:rsid w:val="7BAE01B3"/>
    <w:rsid w:val="7BE04ECD"/>
    <w:rsid w:val="7C281C46"/>
    <w:rsid w:val="7C312D6A"/>
    <w:rsid w:val="7C4F788D"/>
    <w:rsid w:val="7C6A0A7C"/>
    <w:rsid w:val="7C8622FA"/>
    <w:rsid w:val="7C8C2028"/>
    <w:rsid w:val="7CEB3519"/>
    <w:rsid w:val="7CFA5E39"/>
    <w:rsid w:val="7D1F2E5A"/>
    <w:rsid w:val="7D344D95"/>
    <w:rsid w:val="7D4660E5"/>
    <w:rsid w:val="7D472799"/>
    <w:rsid w:val="7D4E7088"/>
    <w:rsid w:val="7D5E3220"/>
    <w:rsid w:val="7D6752BD"/>
    <w:rsid w:val="7D96296D"/>
    <w:rsid w:val="7DBF45D5"/>
    <w:rsid w:val="7DFF57DA"/>
    <w:rsid w:val="7E0B19BB"/>
    <w:rsid w:val="7E177382"/>
    <w:rsid w:val="7E197497"/>
    <w:rsid w:val="7E4A2B9B"/>
    <w:rsid w:val="7EB01C0C"/>
    <w:rsid w:val="7EC34622"/>
    <w:rsid w:val="7EE95010"/>
    <w:rsid w:val="7F3F74A3"/>
    <w:rsid w:val="7F4C6667"/>
    <w:rsid w:val="7F860822"/>
    <w:rsid w:val="7FE70355"/>
    <w:rsid w:val="7FF76C79"/>
    <w:rsid w:val="FFD72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7"/>
    <w:qFormat/>
    <w:uiPriority w:val="0"/>
    <w:pPr>
      <w:spacing w:after="120"/>
    </w:pPr>
    <w:rPr>
      <w:rFonts w:ascii="Times New Roman" w:hAnsi="Times New Roman" w:eastAsia="宋体" w:cs="Times New Roman"/>
      <w:sz w:val="16"/>
      <w:szCs w:val="16"/>
    </w:rPr>
  </w:style>
  <w:style w:type="paragraph" w:styleId="6">
    <w:name w:val="Body Text"/>
    <w:basedOn w:val="1"/>
    <w:link w:val="30"/>
    <w:semiHidden/>
    <w:unhideWhenUsed/>
    <w:qFormat/>
    <w:uiPriority w:val="99"/>
    <w:pPr>
      <w:spacing w:after="120"/>
    </w:pPr>
  </w:style>
  <w:style w:type="paragraph" w:styleId="7">
    <w:name w:val="Date"/>
    <w:basedOn w:val="1"/>
    <w:next w:val="1"/>
    <w:link w:val="21"/>
    <w:semiHidden/>
    <w:unhideWhenUsed/>
    <w:qFormat/>
    <w:uiPriority w:val="99"/>
    <w:pPr>
      <w:ind w:left="100" w:leftChars="2500"/>
    </w:pPr>
  </w:style>
  <w:style w:type="paragraph" w:styleId="8">
    <w:name w:val="Balloon Text"/>
    <w:basedOn w:val="1"/>
    <w:link w:val="29"/>
    <w:semiHidden/>
    <w:unhideWhenUsed/>
    <w:qFormat/>
    <w:uiPriority w:val="99"/>
    <w:rPr>
      <w:sz w:val="18"/>
      <w:szCs w:val="18"/>
    </w:rPr>
  </w:style>
  <w:style w:type="paragraph" w:styleId="9">
    <w:name w:val="footer"/>
    <w:basedOn w:val="1"/>
    <w:link w:val="32"/>
    <w:unhideWhenUsed/>
    <w:qFormat/>
    <w:uiPriority w:val="99"/>
    <w:pPr>
      <w:tabs>
        <w:tab w:val="center" w:pos="4153"/>
        <w:tab w:val="right" w:pos="8306"/>
      </w:tabs>
      <w:snapToGrid w:val="0"/>
      <w:jc w:val="left"/>
    </w:pPr>
    <w:rPr>
      <w:sz w:val="18"/>
      <w:szCs w:val="18"/>
    </w:rPr>
  </w:style>
  <w:style w:type="paragraph" w:styleId="10">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Subtitle"/>
    <w:basedOn w:val="1"/>
    <w:next w:val="1"/>
    <w:qFormat/>
    <w:uiPriority w:val="0"/>
    <w:pPr>
      <w:jc w:val="center"/>
    </w:pPr>
    <w:rPr>
      <w:rFonts w:ascii="华文行楷" w:eastAsia="华文行楷"/>
      <w:b/>
      <w:sz w:val="44"/>
    </w:rPr>
  </w:style>
  <w:style w:type="paragraph" w:styleId="13">
    <w:name w:val="footnote text"/>
    <w:basedOn w:val="1"/>
    <w:qFormat/>
    <w:uiPriority w:val="0"/>
    <w:pPr>
      <w:snapToGrid w:val="0"/>
      <w:jc w:val="left"/>
    </w:pPr>
  </w:style>
  <w:style w:type="paragraph" w:styleId="14">
    <w:name w:val="Normal (Web)"/>
    <w:basedOn w:val="1"/>
    <w:qFormat/>
    <w:uiPriority w:val="0"/>
    <w:pPr>
      <w:spacing w:before="100" w:beforeAutospacing="1" w:after="100" w:afterAutospacing="1"/>
      <w:jc w:val="left"/>
    </w:pPr>
    <w:rPr>
      <w:rFonts w:cs="Times New Roman"/>
      <w:kern w:val="0"/>
      <w:sz w:val="24"/>
    </w:rPr>
  </w:style>
  <w:style w:type="paragraph" w:styleId="15">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59"/>
    <w:rPr>
      <w:rFonts w:ascii="Calibri" w:hAnsi="Calibri" w:cs="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uiPriority w:val="22"/>
    <w:rPr>
      <w:b/>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customStyle="1" w:styleId="21">
    <w:name w:val="日期 字符"/>
    <w:basedOn w:val="18"/>
    <w:link w:val="7"/>
    <w:semiHidden/>
    <w:qFormat/>
    <w:uiPriority w:val="99"/>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24">
    <w:name w:val="List Paragraph"/>
    <w:basedOn w:val="1"/>
    <w:qFormat/>
    <w:uiPriority w:val="99"/>
    <w:pPr>
      <w:ind w:firstLine="420" w:firstLineChars="200"/>
    </w:pPr>
  </w:style>
  <w:style w:type="character" w:customStyle="1" w:styleId="25">
    <w:name w:val="5数字标题 Char Char"/>
    <w:link w:val="26"/>
    <w:qFormat/>
    <w:uiPriority w:val="0"/>
    <w:rPr>
      <w:rFonts w:ascii="仿宋_GB2312" w:hAnsi="Calibri" w:eastAsia="仿宋_GB2312"/>
      <w:b/>
      <w:sz w:val="28"/>
      <w:szCs w:val="28"/>
    </w:rPr>
  </w:style>
  <w:style w:type="paragraph" w:customStyle="1" w:styleId="26">
    <w:name w:val="5数字标题"/>
    <w:basedOn w:val="1"/>
    <w:link w:val="25"/>
    <w:qFormat/>
    <w:uiPriority w:val="0"/>
    <w:pPr>
      <w:widowControl/>
      <w:snapToGrid w:val="0"/>
      <w:spacing w:before="312" w:beforeLines="100"/>
      <w:ind w:firstLine="200" w:firstLineChars="200"/>
    </w:pPr>
    <w:rPr>
      <w:rFonts w:ascii="仿宋_GB2312" w:hAnsi="Calibri" w:eastAsia="仿宋_GB2312"/>
      <w:b/>
      <w:kern w:val="0"/>
      <w:sz w:val="28"/>
      <w:szCs w:val="28"/>
    </w:rPr>
  </w:style>
  <w:style w:type="character" w:customStyle="1" w:styleId="27">
    <w:name w:val="正文文本 3 字符"/>
    <w:basedOn w:val="18"/>
    <w:link w:val="5"/>
    <w:qFormat/>
    <w:uiPriority w:val="0"/>
    <w:rPr>
      <w:rFonts w:ascii="Times New Roman" w:hAnsi="Times New Roman" w:eastAsia="宋体" w:cs="Times New Roman"/>
      <w:kern w:val="2"/>
      <w:sz w:val="16"/>
      <w:szCs w:val="16"/>
    </w:rPr>
  </w:style>
  <w:style w:type="paragraph" w:customStyle="1" w:styleId="28">
    <w:name w:val="TOC 标题1"/>
    <w:basedOn w:val="2"/>
    <w:next w:val="1"/>
    <w:link w:val="34"/>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9">
    <w:name w:val="批注框文本 字符"/>
    <w:basedOn w:val="18"/>
    <w:link w:val="8"/>
    <w:semiHidden/>
    <w:qFormat/>
    <w:uiPriority w:val="99"/>
    <w:rPr>
      <w:kern w:val="2"/>
      <w:sz w:val="18"/>
      <w:szCs w:val="18"/>
    </w:rPr>
  </w:style>
  <w:style w:type="character" w:customStyle="1" w:styleId="30">
    <w:name w:val="正文文本 字符"/>
    <w:basedOn w:val="18"/>
    <w:link w:val="6"/>
    <w:semiHidden/>
    <w:qFormat/>
    <w:uiPriority w:val="99"/>
    <w:rPr>
      <w:kern w:val="2"/>
      <w:sz w:val="21"/>
      <w:szCs w:val="22"/>
    </w:rPr>
  </w:style>
  <w:style w:type="character" w:customStyle="1" w:styleId="31">
    <w:name w:val="页眉 字符"/>
    <w:basedOn w:val="18"/>
    <w:link w:val="10"/>
    <w:qFormat/>
    <w:uiPriority w:val="99"/>
    <w:rPr>
      <w:kern w:val="2"/>
      <w:sz w:val="18"/>
      <w:szCs w:val="18"/>
    </w:rPr>
  </w:style>
  <w:style w:type="character" w:customStyle="1" w:styleId="32">
    <w:name w:val="页脚 字符"/>
    <w:basedOn w:val="18"/>
    <w:link w:val="9"/>
    <w:qFormat/>
    <w:uiPriority w:val="99"/>
    <w:rPr>
      <w:kern w:val="2"/>
      <w:sz w:val="18"/>
      <w:szCs w:val="18"/>
    </w:rPr>
  </w:style>
  <w:style w:type="character" w:customStyle="1" w:styleId="33">
    <w:name w:val="标题 字符"/>
    <w:basedOn w:val="18"/>
    <w:link w:val="15"/>
    <w:qFormat/>
    <w:uiPriority w:val="10"/>
    <w:rPr>
      <w:rFonts w:asciiTheme="majorHAnsi" w:hAnsiTheme="majorHAnsi" w:eastAsiaTheme="majorEastAsia" w:cstheme="majorBidi"/>
      <w:b/>
      <w:bCs/>
      <w:kern w:val="2"/>
      <w:sz w:val="32"/>
      <w:szCs w:val="32"/>
    </w:rPr>
  </w:style>
  <w:style w:type="character" w:customStyle="1" w:styleId="34">
    <w:name w:val="TOC 标题1 Char"/>
    <w:link w:val="28"/>
    <w:qFormat/>
    <w:uiPriority w:val="39"/>
    <w:rPr>
      <w:rFonts w:asciiTheme="majorHAnsi" w:hAnsiTheme="majorHAnsi" w:eastAsiaTheme="majorEastAsia" w:cstheme="majorBidi"/>
      <w:color w:val="2E75B6" w:themeColor="accent1" w:themeShade="BF"/>
      <w:kern w:val="0"/>
      <w:sz w:val="32"/>
      <w:szCs w:val="32"/>
    </w:rPr>
  </w:style>
  <w:style w:type="character" w:customStyle="1" w:styleId="35">
    <w:name w:val="font51"/>
    <w:basedOn w:val="18"/>
    <w:qFormat/>
    <w:uiPriority w:val="0"/>
    <w:rPr>
      <w:rFonts w:hint="eastAsia" w:ascii="微软雅黑" w:hAnsi="微软雅黑" w:eastAsia="微软雅黑"/>
      <w:b/>
      <w:bCs/>
      <w:color w:val="808080"/>
      <w:sz w:val="21"/>
      <w:szCs w:val="21"/>
      <w:u w:val="none"/>
    </w:rPr>
  </w:style>
  <w:style w:type="character" w:customStyle="1" w:styleId="36">
    <w:name w:val="font21"/>
    <w:basedOn w:val="18"/>
    <w:qFormat/>
    <w:uiPriority w:val="0"/>
    <w:rPr>
      <w:rFonts w:hint="eastAsia" w:ascii="微软雅黑" w:hAnsi="微软雅黑" w:eastAsia="微软雅黑"/>
      <w:b/>
      <w:bCs/>
      <w:color w:val="808080"/>
      <w:sz w:val="21"/>
      <w:szCs w:val="21"/>
      <w:u w:val="none"/>
    </w:rPr>
  </w:style>
  <w:style w:type="character" w:customStyle="1" w:styleId="37">
    <w:name w:val="font11"/>
    <w:basedOn w:val="18"/>
    <w:qFormat/>
    <w:uiPriority w:val="0"/>
    <w:rPr>
      <w:rFonts w:hint="eastAsia" w:ascii="微软雅黑" w:hAnsi="微软雅黑" w:eastAsia="微软雅黑" w:cs="微软雅黑"/>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15111</Words>
  <Characters>16079</Characters>
  <Lines>138</Lines>
  <Paragraphs>39</Paragraphs>
  <TotalTime>33</TotalTime>
  <ScaleCrop>false</ScaleCrop>
  <LinksUpToDate>false</LinksUpToDate>
  <CharactersWithSpaces>16417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2023-05-25T02:10:00Z</dcterms:created>
  <dc:creator>钱 东东</dc:creator>
  <cp:lastModifiedBy>㏑畔小颜¶</cp:lastModifiedBy>
  <cp:lastPrinted>2021-04-20T02:02:00Z</cp:lastPrinted>
  <dcterms:modified xsi:type="dcterms:W3CDTF">2023-06-28T02:01:29Z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720435FE9A6C41A4A17FA164507CB2D7</vt:lpwstr>
  </property>
</Properties>
</file>